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4079" w14:textId="77777777" w:rsidR="00494536" w:rsidRPr="00FB2F32" w:rsidRDefault="00494536" w:rsidP="008936F5">
      <w:pPr>
        <w:pStyle w:val="Heading1"/>
      </w:pPr>
      <w:r w:rsidRPr="00FB2F32">
        <w:t>Title of the method (Calibri Bold 16)</w:t>
      </w:r>
    </w:p>
    <w:p w14:paraId="1576719F" w14:textId="77777777" w:rsidR="00F43BA5" w:rsidRPr="004E2981" w:rsidRDefault="00F43BA5" w:rsidP="00F43BA5">
      <w:pPr>
        <w:rPr>
          <w:sz w:val="28"/>
          <w:szCs w:val="28"/>
        </w:rPr>
      </w:pPr>
      <w:r w:rsidRPr="000D7808">
        <w:rPr>
          <w:sz w:val="28"/>
          <w:szCs w:val="28"/>
        </w:rPr>
        <w:t xml:space="preserve">After the title, the first page should include a short description of the method, </w:t>
      </w:r>
      <w:proofErr w:type="spellStart"/>
      <w:r w:rsidRPr="000D7808">
        <w:rPr>
          <w:sz w:val="28"/>
          <w:szCs w:val="28"/>
        </w:rPr>
        <w:t>e.g</w:t>
      </w:r>
      <w:proofErr w:type="spellEnd"/>
      <w:r w:rsidRPr="000D7808">
        <w:rPr>
          <w:sz w:val="28"/>
          <w:szCs w:val="28"/>
        </w:rPr>
        <w:t>, the same text as published about the method on the web page</w:t>
      </w:r>
      <w:r>
        <w:rPr>
          <w:sz w:val="28"/>
          <w:szCs w:val="28"/>
        </w:rPr>
        <w:t xml:space="preserve"> (Calibri 14).</w:t>
      </w:r>
    </w:p>
    <w:p w14:paraId="6B3309AE" w14:textId="6822A63C" w:rsidR="007C7642" w:rsidRDefault="00494536" w:rsidP="00494536">
      <w:r>
        <w:t>The title should be precise and concise, starting with the analytes/agen</w:t>
      </w:r>
      <w:r w:rsidR="00A4069A">
        <w:t>t</w:t>
      </w:r>
      <w:r>
        <w:t xml:space="preserve">s, the </w:t>
      </w:r>
      <w:r w:rsidR="007C7B40">
        <w:t>principle,</w:t>
      </w:r>
      <w:r>
        <w:t xml:space="preserve"> and matrices. Examples:</w:t>
      </w:r>
    </w:p>
    <w:p w14:paraId="5D0EB79A" w14:textId="77777777" w:rsidR="00494536" w:rsidRDefault="00494536" w:rsidP="00494536">
      <w:r>
        <w:t xml:space="preserve">Bacterial count. Determination by direct </w:t>
      </w:r>
      <w:proofErr w:type="spellStart"/>
      <w:r>
        <w:t>epifluorescent</w:t>
      </w:r>
      <w:proofErr w:type="spellEnd"/>
      <w:r>
        <w:t xml:space="preserve"> filter technique (DEFT) in raw minced meat.</w:t>
      </w:r>
    </w:p>
    <w:p w14:paraId="42F72296" w14:textId="3094191C" w:rsidR="000D7808" w:rsidRDefault="00494536" w:rsidP="00494536">
      <w:r>
        <w:t>Tin (Sn). Determination in foods by inductively coupled plasma mass spectrometry (ICPMS).</w:t>
      </w:r>
    </w:p>
    <w:p w14:paraId="136F5DD9" w14:textId="77777777" w:rsidR="00CB6EA0" w:rsidRPr="00A13921" w:rsidRDefault="00CB6EA0" w:rsidP="00B24BD9">
      <w:pPr>
        <w:spacing w:after="0"/>
      </w:pPr>
    </w:p>
    <w:p w14:paraId="19C956E7" w14:textId="77777777" w:rsidR="00A13921" w:rsidRPr="00A13921" w:rsidRDefault="00A13921" w:rsidP="00787324">
      <w:pPr>
        <w:pBdr>
          <w:top w:val="single" w:sz="4" w:space="1" w:color="auto"/>
        </w:pBdr>
        <w:spacing w:after="0"/>
      </w:pPr>
    </w:p>
    <w:p w14:paraId="31381ECC" w14:textId="55D2F9E3" w:rsidR="00B24BD9" w:rsidRPr="00011149" w:rsidRDefault="00B24BD9" w:rsidP="00787324">
      <w:pPr>
        <w:pBdr>
          <w:top w:val="single" w:sz="4" w:space="1" w:color="auto"/>
        </w:pBdr>
        <w:spacing w:after="0"/>
        <w:rPr>
          <w:b/>
          <w:bCs/>
          <w:sz w:val="28"/>
          <w:szCs w:val="28"/>
        </w:rPr>
      </w:pPr>
      <w:r w:rsidRPr="00011149">
        <w:rPr>
          <w:b/>
          <w:bCs/>
          <w:sz w:val="28"/>
          <w:szCs w:val="28"/>
        </w:rPr>
        <w:t>NMKL</w:t>
      </w:r>
    </w:p>
    <w:p w14:paraId="51025279" w14:textId="77777777" w:rsidR="00B24BD9" w:rsidRDefault="00B24BD9" w:rsidP="00B24BD9">
      <w:pPr>
        <w:spacing w:after="0"/>
      </w:pPr>
      <w:r>
        <w:t xml:space="preserve">c/o Institute of Marine Research, </w:t>
      </w:r>
    </w:p>
    <w:p w14:paraId="6122C80B" w14:textId="77777777" w:rsidR="00B24BD9" w:rsidRDefault="00B24BD9" w:rsidP="00B24BD9">
      <w:pPr>
        <w:spacing w:after="0"/>
      </w:pPr>
      <w:r>
        <w:t xml:space="preserve">P.O. Box 1870, Nordnes, </w:t>
      </w:r>
    </w:p>
    <w:p w14:paraId="0E6130E8" w14:textId="77777777" w:rsidR="00B24BD9" w:rsidRDefault="00B24BD9" w:rsidP="00B24BD9">
      <w:pPr>
        <w:spacing w:after="0"/>
      </w:pPr>
      <w:r>
        <w:t>NO-5817 Bergen</w:t>
      </w:r>
    </w:p>
    <w:p w14:paraId="419DDEC4" w14:textId="77777777" w:rsidR="00B24BD9" w:rsidRDefault="00B24BD9" w:rsidP="00B24BD9">
      <w:pPr>
        <w:spacing w:after="0"/>
      </w:pPr>
      <w:r>
        <w:t>Norway</w:t>
      </w:r>
    </w:p>
    <w:p w14:paraId="28589DCE" w14:textId="77777777" w:rsidR="00B24BD9" w:rsidRDefault="00B24BD9" w:rsidP="00B24BD9">
      <w:pPr>
        <w:spacing w:after="0"/>
      </w:pPr>
    </w:p>
    <w:p w14:paraId="6BE391D3" w14:textId="0C7200FA" w:rsidR="001E6F10" w:rsidRDefault="00B24BD9" w:rsidP="00B24BD9">
      <w:pPr>
        <w:tabs>
          <w:tab w:val="left" w:pos="2546"/>
        </w:tabs>
      </w:pPr>
      <w:r>
        <w:t xml:space="preserve">NMKL </w:t>
      </w:r>
      <w:r w:rsidR="001E6F10">
        <w:t>methods</w:t>
      </w:r>
      <w:r>
        <w:t xml:space="preserve"> </w:t>
      </w:r>
      <w:r w:rsidR="00516844">
        <w:t xml:space="preserve">and procedures </w:t>
      </w:r>
      <w:r>
        <w:t xml:space="preserve">are available for purchase at </w:t>
      </w:r>
      <w:hyperlink r:id="rId12" w:history="1">
        <w:r w:rsidRPr="00875C99">
          <w:rPr>
            <w:rStyle w:val="Hyperlink"/>
          </w:rPr>
          <w:t>www.nmkl.org</w:t>
        </w:r>
      </w:hyperlink>
      <w:r>
        <w:t xml:space="preserve">. </w:t>
      </w:r>
    </w:p>
    <w:p w14:paraId="2E9C37A8" w14:textId="48880569" w:rsidR="00B24BD9" w:rsidRDefault="00B24BD9" w:rsidP="00B24BD9">
      <w:pPr>
        <w:tabs>
          <w:tab w:val="left" w:pos="2546"/>
        </w:tabs>
      </w:pPr>
      <w:r>
        <w:t xml:space="preserve">NMKL invites all readers and users of the </w:t>
      </w:r>
      <w:r w:rsidR="001E6F10">
        <w:t>method</w:t>
      </w:r>
      <w:r w:rsidR="00516844">
        <w:t>s and procedures</w:t>
      </w:r>
      <w:r>
        <w:t xml:space="preserve"> to submit comments and considerations on its contents to the NMKL secretariat at </w:t>
      </w:r>
      <w:hyperlink r:id="rId13" w:history="1">
        <w:r w:rsidRPr="00875C99">
          <w:rPr>
            <w:rStyle w:val="Hyperlink"/>
          </w:rPr>
          <w:t>post@nmkl.org</w:t>
        </w:r>
      </w:hyperlink>
      <w:r>
        <w:t xml:space="preserve">. </w:t>
      </w:r>
    </w:p>
    <w:p w14:paraId="3A0FFF8C" w14:textId="77777777" w:rsidR="00B24BD9" w:rsidRDefault="00B24BD9" w:rsidP="00A13921">
      <w:pPr>
        <w:pBdr>
          <w:bottom w:val="single" w:sz="4" w:space="1" w:color="auto"/>
        </w:pBdr>
        <w:tabs>
          <w:tab w:val="left" w:pos="2546"/>
        </w:tabs>
        <w:spacing w:after="0"/>
      </w:pPr>
      <w:r w:rsidRPr="008C35B6">
        <w:rPr>
          <w:i/>
          <w:iCs/>
        </w:rPr>
        <w:t>©NMKL. The NMKL publications (methods and procedures) are copyright-protected by NMKL. Neither the publications nor any extract from them may be reproduced, stored in a retrieval system or transmitted to others in any form or by any means, electronic, photocopying, recording or otherwise, without prior written permission being secured. Reproduction may be subjected to royalty payments. Violators may be prosecuted.</w:t>
      </w:r>
      <w:r>
        <w:tab/>
      </w:r>
    </w:p>
    <w:p w14:paraId="11CD65DF" w14:textId="77777777" w:rsidR="00A13921" w:rsidRDefault="00A13921" w:rsidP="00787324">
      <w:pPr>
        <w:pBdr>
          <w:bottom w:val="single" w:sz="4" w:space="1" w:color="auto"/>
        </w:pBdr>
        <w:tabs>
          <w:tab w:val="left" w:pos="2546"/>
        </w:tabs>
      </w:pPr>
    </w:p>
    <w:p w14:paraId="4AE2B153" w14:textId="77777777" w:rsidR="007C7642" w:rsidRPr="001A21E9" w:rsidRDefault="007C7642" w:rsidP="007C7642">
      <w:pPr>
        <w:tabs>
          <w:tab w:val="left" w:pos="2546"/>
        </w:tabs>
      </w:pPr>
    </w:p>
    <w:p w14:paraId="12A99528" w14:textId="3481493E" w:rsidR="00ED2153" w:rsidRPr="004E2981" w:rsidRDefault="00ED2153" w:rsidP="001D58FB">
      <w:pPr>
        <w:rPr>
          <w:b/>
          <w:sz w:val="28"/>
          <w:szCs w:val="28"/>
          <w:lang w:val="en-GB"/>
        </w:rPr>
      </w:pPr>
      <w:r w:rsidRPr="004E2981">
        <w:rPr>
          <w:b/>
          <w:sz w:val="28"/>
          <w:szCs w:val="28"/>
          <w:lang w:val="en-GB"/>
        </w:rPr>
        <w:t>This NMKL method has been validated in a</w:t>
      </w:r>
      <w:r w:rsidR="00803C0E" w:rsidRPr="004E2981">
        <w:rPr>
          <w:b/>
          <w:sz w:val="28"/>
          <w:szCs w:val="28"/>
          <w:lang w:val="en-GB"/>
        </w:rPr>
        <w:t>n</w:t>
      </w:r>
      <w:r w:rsidRPr="004E2981">
        <w:rPr>
          <w:b/>
          <w:sz w:val="28"/>
          <w:szCs w:val="28"/>
          <w:lang w:val="en-GB"/>
        </w:rPr>
        <w:t xml:space="preserve"> </w:t>
      </w:r>
      <w:r w:rsidR="00803C0E" w:rsidRPr="004E2981">
        <w:rPr>
          <w:b/>
          <w:sz w:val="28"/>
          <w:szCs w:val="28"/>
          <w:lang w:val="en-GB"/>
        </w:rPr>
        <w:t>interla</w:t>
      </w:r>
      <w:r w:rsidRPr="004E2981">
        <w:rPr>
          <w:b/>
          <w:sz w:val="28"/>
          <w:szCs w:val="28"/>
          <w:lang w:val="en-GB"/>
        </w:rPr>
        <w:t>borat</w:t>
      </w:r>
      <w:r w:rsidR="00803C0E" w:rsidRPr="004E2981">
        <w:rPr>
          <w:b/>
          <w:sz w:val="28"/>
          <w:szCs w:val="28"/>
          <w:lang w:val="en-GB"/>
        </w:rPr>
        <w:t>ory</w:t>
      </w:r>
      <w:r w:rsidRPr="004E2981">
        <w:rPr>
          <w:b/>
          <w:sz w:val="28"/>
          <w:szCs w:val="28"/>
          <w:lang w:val="en-GB"/>
        </w:rPr>
        <w:t xml:space="preserve"> study.</w:t>
      </w:r>
    </w:p>
    <w:p w14:paraId="0ECBDEC6" w14:textId="4BD9398E" w:rsidR="00ED2153" w:rsidRPr="004E2981" w:rsidRDefault="00ED2153" w:rsidP="00ED2153">
      <w:pPr>
        <w:rPr>
          <w:sz w:val="28"/>
          <w:szCs w:val="28"/>
          <w:lang w:val="en-GB"/>
        </w:rPr>
      </w:pPr>
      <w:r w:rsidRPr="004E2981">
        <w:rPr>
          <w:sz w:val="28"/>
          <w:szCs w:val="28"/>
          <w:lang w:val="en-GB"/>
        </w:rPr>
        <w:t>If the study has been conducted by another organisation than NMKL that should be stated here. The name(s) of the study organiser(s) and institute should be stated under Referee (</w:t>
      </w:r>
      <w:r w:rsidR="00860E44" w:rsidRPr="004E2981">
        <w:rPr>
          <w:sz w:val="28"/>
          <w:szCs w:val="28"/>
          <w:lang w:val="en-GB"/>
        </w:rPr>
        <w:t>section</w:t>
      </w:r>
      <w:r w:rsidRPr="004E2981">
        <w:rPr>
          <w:sz w:val="28"/>
          <w:szCs w:val="28"/>
          <w:lang w:val="en-GB"/>
        </w:rPr>
        <w:t xml:space="preserve"> 14).</w:t>
      </w:r>
      <w:r w:rsidR="00011149">
        <w:rPr>
          <w:sz w:val="28"/>
          <w:szCs w:val="28"/>
          <w:lang w:val="en-GB"/>
        </w:rPr>
        <w:t xml:space="preserve"> (Calibri 14)</w:t>
      </w:r>
    </w:p>
    <w:p w14:paraId="4DF2CB47" w14:textId="4B66E775" w:rsidR="00871E44" w:rsidRPr="004E2981" w:rsidRDefault="00871E44" w:rsidP="00871E44">
      <w:pPr>
        <w:rPr>
          <w:b/>
          <w:sz w:val="28"/>
          <w:szCs w:val="28"/>
          <w:lang w:val="en-GB"/>
        </w:rPr>
      </w:pPr>
      <w:r w:rsidRPr="004E2981">
        <w:rPr>
          <w:b/>
          <w:sz w:val="28"/>
          <w:szCs w:val="28"/>
          <w:lang w:val="en-GB"/>
        </w:rPr>
        <w:t xml:space="preserve">This NMKL method </w:t>
      </w:r>
      <w:r w:rsidRPr="004E2981">
        <w:rPr>
          <w:b/>
          <w:sz w:val="28"/>
          <w:szCs w:val="28"/>
          <w:u w:val="single"/>
          <w:lang w:val="en-GB"/>
        </w:rPr>
        <w:t>has not</w:t>
      </w:r>
      <w:r w:rsidRPr="004E2981">
        <w:rPr>
          <w:b/>
          <w:sz w:val="28"/>
          <w:szCs w:val="28"/>
          <w:lang w:val="en-GB"/>
        </w:rPr>
        <w:t xml:space="preserve"> been validated in a</w:t>
      </w:r>
      <w:r w:rsidR="00803C0E" w:rsidRPr="004E2981">
        <w:rPr>
          <w:b/>
          <w:sz w:val="28"/>
          <w:szCs w:val="28"/>
          <w:lang w:val="en-GB"/>
        </w:rPr>
        <w:t>n interlaboratory study</w:t>
      </w:r>
      <w:r w:rsidRPr="004E2981">
        <w:rPr>
          <w:b/>
          <w:sz w:val="28"/>
          <w:szCs w:val="28"/>
          <w:lang w:val="en-GB"/>
        </w:rPr>
        <w:t>.</w:t>
      </w:r>
    </w:p>
    <w:p w14:paraId="5227CD39" w14:textId="0BF2C058" w:rsidR="00FB2F32" w:rsidRPr="004E2981" w:rsidRDefault="00ED2153" w:rsidP="00FB2F32">
      <w:pPr>
        <w:pBdr>
          <w:bottom w:val="single" w:sz="4" w:space="1" w:color="auto"/>
        </w:pBdr>
        <w:rPr>
          <w:sz w:val="28"/>
          <w:szCs w:val="28"/>
          <w:lang w:val="en-GB"/>
        </w:rPr>
      </w:pPr>
      <w:r w:rsidRPr="004E2981">
        <w:rPr>
          <w:sz w:val="28"/>
          <w:szCs w:val="28"/>
          <w:lang w:val="en-GB"/>
        </w:rPr>
        <w:t>If a</w:t>
      </w:r>
      <w:r w:rsidR="00803C0E" w:rsidRPr="004E2981">
        <w:rPr>
          <w:sz w:val="28"/>
          <w:szCs w:val="28"/>
          <w:lang w:val="en-GB"/>
        </w:rPr>
        <w:t xml:space="preserve">n interlaboratory study </w:t>
      </w:r>
      <w:r w:rsidRPr="004E2981">
        <w:rPr>
          <w:sz w:val="28"/>
          <w:szCs w:val="28"/>
          <w:lang w:val="en-GB"/>
        </w:rPr>
        <w:t xml:space="preserve">has not been carried out, this </w:t>
      </w:r>
      <w:r w:rsidR="00860E44" w:rsidRPr="004E2981">
        <w:rPr>
          <w:sz w:val="28"/>
          <w:szCs w:val="28"/>
          <w:lang w:val="en-GB"/>
        </w:rPr>
        <w:t>section</w:t>
      </w:r>
      <w:r w:rsidRPr="004E2981">
        <w:rPr>
          <w:sz w:val="28"/>
          <w:szCs w:val="28"/>
          <w:lang w:val="en-GB"/>
        </w:rPr>
        <w:t xml:space="preserve"> </w:t>
      </w:r>
      <w:r w:rsidR="00871E44" w:rsidRPr="004E2981">
        <w:rPr>
          <w:sz w:val="28"/>
          <w:szCs w:val="28"/>
          <w:lang w:val="en-GB"/>
        </w:rPr>
        <w:t>should state that</w:t>
      </w:r>
      <w:r w:rsidR="00A13921" w:rsidRPr="004E2981">
        <w:rPr>
          <w:sz w:val="28"/>
          <w:szCs w:val="28"/>
          <w:lang w:val="en-GB"/>
        </w:rPr>
        <w:t xml:space="preserve"> and </w:t>
      </w:r>
      <w:r w:rsidR="00A37F48" w:rsidRPr="004E2981">
        <w:rPr>
          <w:sz w:val="28"/>
          <w:szCs w:val="28"/>
          <w:lang w:val="en-GB"/>
        </w:rPr>
        <w:t>which validation that has been elaborated</w:t>
      </w:r>
      <w:r w:rsidRPr="004E2981">
        <w:rPr>
          <w:sz w:val="28"/>
          <w:szCs w:val="28"/>
          <w:lang w:val="en-GB"/>
        </w:rPr>
        <w:t>.</w:t>
      </w:r>
      <w:r w:rsidR="00011149">
        <w:rPr>
          <w:sz w:val="28"/>
          <w:szCs w:val="28"/>
          <w:lang w:val="en-GB"/>
        </w:rPr>
        <w:t xml:space="preserve"> (Calibri 14)</w:t>
      </w:r>
    </w:p>
    <w:p w14:paraId="65751A79" w14:textId="499F867E" w:rsidR="00ED2153" w:rsidRPr="00ED2153" w:rsidRDefault="00ED2153" w:rsidP="00FB2F32">
      <w:pPr>
        <w:pStyle w:val="Heading2"/>
      </w:pPr>
      <w:r w:rsidRPr="00D202EA">
        <w:lastRenderedPageBreak/>
        <w:t>1. INTRODUCTION</w:t>
      </w:r>
    </w:p>
    <w:p w14:paraId="58857643" w14:textId="77777777" w:rsidR="00ED2153" w:rsidRPr="00ED2153" w:rsidRDefault="00ED2153" w:rsidP="00ED2153">
      <w:pPr>
        <w:rPr>
          <w:lang w:val="en-GB"/>
        </w:rPr>
      </w:pPr>
      <w:r w:rsidRPr="00ED2153">
        <w:rPr>
          <w:lang w:val="en-GB"/>
        </w:rPr>
        <w:t xml:space="preserve">(The text is to be written in </w:t>
      </w:r>
      <w:r w:rsidR="00D202EA">
        <w:rPr>
          <w:lang w:val="en-GB"/>
        </w:rPr>
        <w:t>Calibri</w:t>
      </w:r>
      <w:r w:rsidRPr="00ED2153">
        <w:rPr>
          <w:lang w:val="en-GB"/>
        </w:rPr>
        <w:t xml:space="preserve"> </w:t>
      </w:r>
      <w:r w:rsidR="00D202EA">
        <w:rPr>
          <w:lang w:val="en-GB"/>
        </w:rPr>
        <w:t xml:space="preserve">font size </w:t>
      </w:r>
      <w:r w:rsidRPr="00ED2153">
        <w:rPr>
          <w:lang w:val="en-GB"/>
        </w:rPr>
        <w:t>11)</w:t>
      </w:r>
    </w:p>
    <w:p w14:paraId="6CF01BB0" w14:textId="3B6AB933" w:rsidR="00ED2153" w:rsidRDefault="00ED2153" w:rsidP="00ED2153">
      <w:pPr>
        <w:rPr>
          <w:lang w:val="en-GB"/>
        </w:rPr>
      </w:pPr>
      <w:r w:rsidRPr="00ED2153">
        <w:rPr>
          <w:lang w:val="en-GB"/>
        </w:rPr>
        <w:t xml:space="preserve">The introduction is used to present additional information, such as comments concerning the technical content of the method or the reasons for its preparation. </w:t>
      </w:r>
      <w:r w:rsidR="00396A8F">
        <w:rPr>
          <w:lang w:val="en-GB"/>
        </w:rPr>
        <w:t>B</w:t>
      </w:r>
      <w:r w:rsidRPr="00ED2153">
        <w:rPr>
          <w:lang w:val="en-GB"/>
        </w:rPr>
        <w:t xml:space="preserve">ackground information should be included in this </w:t>
      </w:r>
      <w:r w:rsidR="00860E44">
        <w:rPr>
          <w:lang w:val="en-GB"/>
        </w:rPr>
        <w:t>section</w:t>
      </w:r>
      <w:r w:rsidRPr="00ED2153">
        <w:rPr>
          <w:lang w:val="en-GB"/>
        </w:rPr>
        <w:t>.</w:t>
      </w:r>
    </w:p>
    <w:p w14:paraId="5263277F" w14:textId="77777777" w:rsidR="00ED2153" w:rsidRPr="00ED2153" w:rsidRDefault="00ED2153" w:rsidP="00FB2F32">
      <w:pPr>
        <w:pStyle w:val="Heading2"/>
      </w:pPr>
      <w:r>
        <w:t xml:space="preserve">2. </w:t>
      </w:r>
      <w:r w:rsidRPr="00ED2153">
        <w:t>ADDITIONS</w:t>
      </w:r>
    </w:p>
    <w:p w14:paraId="40EF1704" w14:textId="5A1BFA4D" w:rsidR="00ED2153" w:rsidRPr="00ED2153" w:rsidRDefault="00ED2153" w:rsidP="00ED2153">
      <w:pPr>
        <w:rPr>
          <w:lang w:val="en-GB"/>
        </w:rPr>
      </w:pPr>
      <w:r w:rsidRPr="00ED2153">
        <w:rPr>
          <w:lang w:val="en-GB"/>
        </w:rPr>
        <w:t xml:space="preserve">Describe any major changes made in the method compared to the previous edition of the method. Furthermore, other information, which does not fit within any of the other </w:t>
      </w:r>
      <w:r w:rsidR="00860E44">
        <w:rPr>
          <w:lang w:val="en-GB"/>
        </w:rPr>
        <w:t>section</w:t>
      </w:r>
      <w:r w:rsidRPr="00ED2153">
        <w:rPr>
          <w:lang w:val="en-GB"/>
        </w:rPr>
        <w:t>s, can be provided.</w:t>
      </w:r>
    </w:p>
    <w:p w14:paraId="2F52D32A" w14:textId="77777777" w:rsidR="00ED2153" w:rsidRPr="00ED2153" w:rsidRDefault="00ED2153" w:rsidP="00FB2F32">
      <w:pPr>
        <w:pStyle w:val="Heading2"/>
      </w:pPr>
      <w:r>
        <w:t xml:space="preserve">3. </w:t>
      </w:r>
      <w:r w:rsidRPr="00ED2153">
        <w:t>SCOPE AND FIELD OF APPLICATION</w:t>
      </w:r>
    </w:p>
    <w:p w14:paraId="58278F67" w14:textId="269FC96E" w:rsidR="001D58FB" w:rsidRDefault="00ED2153" w:rsidP="00ED2153">
      <w:pPr>
        <w:rPr>
          <w:lang w:val="en-GB"/>
        </w:rPr>
      </w:pPr>
      <w:r w:rsidRPr="00ED2153">
        <w:rPr>
          <w:lang w:val="en-GB"/>
        </w:rPr>
        <w:t xml:space="preserve">This </w:t>
      </w:r>
      <w:r w:rsidR="00860E44">
        <w:rPr>
          <w:lang w:val="en-GB"/>
        </w:rPr>
        <w:t>section</w:t>
      </w:r>
      <w:r w:rsidRPr="00ED2153">
        <w:rPr>
          <w:lang w:val="en-GB"/>
        </w:rPr>
        <w:t xml:space="preserve"> shall state:</w:t>
      </w:r>
    </w:p>
    <w:p w14:paraId="68CBA572" w14:textId="77777777" w:rsidR="001D58FB" w:rsidRDefault="00ED2153" w:rsidP="00ED2153">
      <w:pPr>
        <w:pStyle w:val="ListParagraph"/>
        <w:numPr>
          <w:ilvl w:val="0"/>
          <w:numId w:val="4"/>
        </w:numPr>
        <w:rPr>
          <w:lang w:val="en-GB"/>
        </w:rPr>
      </w:pPr>
      <w:r w:rsidRPr="001D58FB">
        <w:rPr>
          <w:lang w:val="en-GB"/>
        </w:rPr>
        <w:t xml:space="preserve">concisely what is </w:t>
      </w:r>
      <w:proofErr w:type="gramStart"/>
      <w:r w:rsidRPr="001D58FB">
        <w:rPr>
          <w:lang w:val="en-GB"/>
        </w:rPr>
        <w:t>analysed</w:t>
      </w:r>
      <w:proofErr w:type="gramEnd"/>
      <w:r w:rsidRPr="001D58FB">
        <w:rPr>
          <w:lang w:val="en-GB"/>
        </w:rPr>
        <w:t xml:space="preserve"> </w:t>
      </w:r>
    </w:p>
    <w:p w14:paraId="4DD1A4BC" w14:textId="0C9B471D" w:rsidR="001D58FB" w:rsidRDefault="00ED2153" w:rsidP="00ED2153">
      <w:pPr>
        <w:pStyle w:val="ListParagraph"/>
        <w:numPr>
          <w:ilvl w:val="0"/>
          <w:numId w:val="4"/>
        </w:numPr>
        <w:rPr>
          <w:lang w:val="en-GB"/>
        </w:rPr>
      </w:pPr>
      <w:r w:rsidRPr="001D58FB">
        <w:rPr>
          <w:lang w:val="en-GB"/>
        </w:rPr>
        <w:t>products</w:t>
      </w:r>
      <w:r w:rsidR="00860E44">
        <w:rPr>
          <w:lang w:val="en-GB"/>
        </w:rPr>
        <w:t>/matrices</w:t>
      </w:r>
      <w:r w:rsidRPr="001D58FB">
        <w:rPr>
          <w:lang w:val="en-GB"/>
        </w:rPr>
        <w:t xml:space="preserve"> to which the method </w:t>
      </w:r>
      <w:proofErr w:type="gramStart"/>
      <w:r w:rsidRPr="001D58FB">
        <w:rPr>
          <w:lang w:val="en-GB"/>
        </w:rPr>
        <w:t>applies</w:t>
      </w:r>
      <w:proofErr w:type="gramEnd"/>
    </w:p>
    <w:p w14:paraId="5184ADC1" w14:textId="77777777" w:rsidR="001D58FB" w:rsidRDefault="00ED2153" w:rsidP="00ED2153">
      <w:pPr>
        <w:pStyle w:val="ListParagraph"/>
        <w:numPr>
          <w:ilvl w:val="0"/>
          <w:numId w:val="4"/>
        </w:numPr>
        <w:rPr>
          <w:lang w:val="en-GB"/>
        </w:rPr>
      </w:pPr>
      <w:r w:rsidRPr="001D58FB">
        <w:rPr>
          <w:lang w:val="en-GB"/>
        </w:rPr>
        <w:t>possible limitations</w:t>
      </w:r>
    </w:p>
    <w:p w14:paraId="6BD05A89" w14:textId="77777777" w:rsidR="001D58FB" w:rsidRDefault="00ED2153" w:rsidP="00ED2153">
      <w:pPr>
        <w:pStyle w:val="ListParagraph"/>
        <w:numPr>
          <w:ilvl w:val="0"/>
          <w:numId w:val="4"/>
        </w:numPr>
        <w:rPr>
          <w:lang w:val="en-GB"/>
        </w:rPr>
      </w:pPr>
      <w:r w:rsidRPr="001D58FB">
        <w:rPr>
          <w:lang w:val="en-GB"/>
        </w:rPr>
        <w:t>detection limit and/or quantification limit</w:t>
      </w:r>
    </w:p>
    <w:p w14:paraId="4FF6983C" w14:textId="4A69E5B5" w:rsidR="001D58FB" w:rsidRDefault="00ED2153" w:rsidP="00ED2153">
      <w:pPr>
        <w:pStyle w:val="ListParagraph"/>
        <w:numPr>
          <w:ilvl w:val="0"/>
          <w:numId w:val="4"/>
        </w:numPr>
        <w:rPr>
          <w:lang w:val="en-GB"/>
        </w:rPr>
      </w:pPr>
      <w:r w:rsidRPr="001D58FB">
        <w:rPr>
          <w:lang w:val="en-GB"/>
        </w:rPr>
        <w:t xml:space="preserve">additional, useful information which could not be included in the </w:t>
      </w:r>
      <w:proofErr w:type="gramStart"/>
      <w:r w:rsidRPr="001D58FB">
        <w:rPr>
          <w:lang w:val="en-GB"/>
        </w:rPr>
        <w:t>title</w:t>
      </w:r>
      <w:proofErr w:type="gramEnd"/>
    </w:p>
    <w:p w14:paraId="68F46FD4" w14:textId="0AF76551" w:rsidR="00ED2153" w:rsidRPr="001D58FB" w:rsidRDefault="00ED2153" w:rsidP="00ED2153">
      <w:pPr>
        <w:pStyle w:val="ListParagraph"/>
        <w:numPr>
          <w:ilvl w:val="0"/>
          <w:numId w:val="4"/>
        </w:numPr>
        <w:rPr>
          <w:lang w:val="en-GB"/>
        </w:rPr>
      </w:pPr>
      <w:r w:rsidRPr="001D58FB">
        <w:rPr>
          <w:lang w:val="en-GB"/>
        </w:rPr>
        <w:t>possible interferences</w:t>
      </w:r>
    </w:p>
    <w:p w14:paraId="0473117A" w14:textId="77777777" w:rsidR="00ED2153" w:rsidRPr="00ED2153" w:rsidRDefault="00ED2153" w:rsidP="00ED2153">
      <w:pPr>
        <w:rPr>
          <w:lang w:val="en-GB"/>
        </w:rPr>
      </w:pPr>
      <w:r w:rsidRPr="00ED2153">
        <w:rPr>
          <w:lang w:val="en-GB"/>
        </w:rPr>
        <w:t xml:space="preserve">It shall also contain sufficient information to enable the user to judge quickly whether the method is applicable to the products being considered, or whether limitations exist. </w:t>
      </w:r>
    </w:p>
    <w:p w14:paraId="321AAEAF" w14:textId="2DD7D4A2" w:rsidR="00ED2153" w:rsidRPr="00ED2153" w:rsidRDefault="00ED2153" w:rsidP="00ED2153">
      <w:pPr>
        <w:rPr>
          <w:lang w:val="en-GB"/>
        </w:rPr>
      </w:pPr>
      <w:r w:rsidRPr="00ED2153">
        <w:rPr>
          <w:lang w:val="en-GB"/>
        </w:rPr>
        <w:t xml:space="preserve">It is sometimes necessary to provide several procedure descriptions for the determination of a given entity, depending, for example, on the composition of the product or on its differing contents for that entity, or the accuracy required, each procedure having its own </w:t>
      </w:r>
      <w:r w:rsidR="00DD5D8D" w:rsidRPr="00ED2153">
        <w:rPr>
          <w:lang w:val="en-GB"/>
        </w:rPr>
        <w:t>scope</w:t>
      </w:r>
      <w:r w:rsidRPr="00ED2153">
        <w:rPr>
          <w:lang w:val="en-GB"/>
        </w:rPr>
        <w:t xml:space="preserve"> and field of application. A clear distinction shall be drawn between the individual scopes of the procedures laid down if the method includes several procedures. </w:t>
      </w:r>
    </w:p>
    <w:p w14:paraId="1F7DE536" w14:textId="58EC3A50" w:rsidR="00880081" w:rsidRPr="00FB2F32" w:rsidRDefault="00880081" w:rsidP="00FB2F32">
      <w:pPr>
        <w:pStyle w:val="Heading2"/>
      </w:pPr>
      <w:r w:rsidRPr="00FB2F32">
        <w:t>4. DEFINITION</w:t>
      </w:r>
    </w:p>
    <w:p w14:paraId="1F3AA182" w14:textId="3E1F610B" w:rsidR="00F13836" w:rsidRDefault="00F13836" w:rsidP="00B55A3C">
      <w:pPr>
        <w:pStyle w:val="ListParagraph"/>
        <w:numPr>
          <w:ilvl w:val="0"/>
          <w:numId w:val="9"/>
        </w:numPr>
        <w:spacing w:after="120"/>
        <w:contextualSpacing w:val="0"/>
        <w:rPr>
          <w:b/>
          <w:caps/>
          <w:sz w:val="24"/>
          <w:szCs w:val="24"/>
          <w:lang w:val="en-GB"/>
        </w:rPr>
      </w:pPr>
      <w:r w:rsidRPr="00C6702A">
        <w:rPr>
          <w:b/>
          <w:caps/>
          <w:sz w:val="24"/>
          <w:szCs w:val="24"/>
          <w:lang w:val="en-GB"/>
        </w:rPr>
        <w:t>All cap</w:t>
      </w:r>
      <w:r w:rsidR="00DA5E3B" w:rsidRPr="00C6702A">
        <w:rPr>
          <w:b/>
          <w:caps/>
          <w:sz w:val="24"/>
          <w:szCs w:val="24"/>
          <w:lang w:val="en-GB"/>
        </w:rPr>
        <w:t>s</w:t>
      </w:r>
      <w:r w:rsidR="00854BF1">
        <w:rPr>
          <w:b/>
          <w:caps/>
          <w:sz w:val="24"/>
          <w:szCs w:val="24"/>
          <w:lang w:val="en-GB"/>
        </w:rPr>
        <w:t>, from the extended font menu (ctrl+D)</w:t>
      </w:r>
      <w:r w:rsidR="00DA5E3B" w:rsidRPr="00C6702A">
        <w:rPr>
          <w:b/>
          <w:caps/>
          <w:sz w:val="24"/>
          <w:szCs w:val="24"/>
          <w:lang w:val="en-GB"/>
        </w:rPr>
        <w:t xml:space="preserve"> (Calibri 12)</w:t>
      </w:r>
    </w:p>
    <w:p w14:paraId="1E9FB103" w14:textId="3A9A7053" w:rsidR="00BB2EDE" w:rsidRPr="00BB2EDE" w:rsidRDefault="00BB2EDE" w:rsidP="00C6702A">
      <w:pPr>
        <w:pStyle w:val="ListParagraph"/>
        <w:spacing w:after="120"/>
        <w:contextualSpacing w:val="0"/>
        <w:rPr>
          <w:bCs/>
          <w:lang w:val="en-GB"/>
        </w:rPr>
      </w:pPr>
      <w:r w:rsidRPr="00C6702A">
        <w:rPr>
          <w:bCs/>
          <w:lang w:val="en-GB"/>
        </w:rPr>
        <w:t>Text</w:t>
      </w:r>
      <w:r>
        <w:rPr>
          <w:bCs/>
          <w:lang w:val="en-GB"/>
        </w:rPr>
        <w:t xml:space="preserve"> (Calibri 11)</w:t>
      </w:r>
    </w:p>
    <w:p w14:paraId="3CBB8611" w14:textId="6125C8A9" w:rsidR="00180B7F" w:rsidRDefault="00F13836" w:rsidP="00B55A3C">
      <w:pPr>
        <w:pStyle w:val="ListParagraph"/>
        <w:numPr>
          <w:ilvl w:val="1"/>
          <w:numId w:val="9"/>
        </w:numPr>
        <w:spacing w:after="120"/>
        <w:contextualSpacing w:val="0"/>
        <w:rPr>
          <w:b/>
          <w:sz w:val="24"/>
          <w:szCs w:val="24"/>
          <w:lang w:val="en-GB"/>
        </w:rPr>
      </w:pPr>
      <w:r w:rsidRPr="00C6702A">
        <w:rPr>
          <w:b/>
          <w:sz w:val="24"/>
          <w:szCs w:val="24"/>
          <w:lang w:val="en-GB"/>
        </w:rPr>
        <w:t>Bold</w:t>
      </w:r>
      <w:r w:rsidR="00DA5E3B">
        <w:rPr>
          <w:b/>
          <w:sz w:val="24"/>
          <w:szCs w:val="24"/>
          <w:lang w:val="en-GB"/>
        </w:rPr>
        <w:t xml:space="preserve"> (Calibri 12)</w:t>
      </w:r>
    </w:p>
    <w:p w14:paraId="018FF681" w14:textId="7D32E137" w:rsidR="00180B7F" w:rsidRPr="00C6702A" w:rsidRDefault="00180B7F" w:rsidP="00C6702A">
      <w:pPr>
        <w:pStyle w:val="ListParagraph"/>
        <w:spacing w:after="120"/>
        <w:contextualSpacing w:val="0"/>
        <w:rPr>
          <w:bCs/>
          <w:lang w:val="en-GB"/>
        </w:rPr>
      </w:pPr>
      <w:r w:rsidRPr="00C6702A">
        <w:rPr>
          <w:bCs/>
          <w:lang w:val="en-GB"/>
        </w:rPr>
        <w:t>Text</w:t>
      </w:r>
      <w:r>
        <w:rPr>
          <w:bCs/>
          <w:lang w:val="en-GB"/>
        </w:rPr>
        <w:t xml:space="preserve"> (Calibri 11)</w:t>
      </w:r>
    </w:p>
    <w:p w14:paraId="1D25582E" w14:textId="1C6C4CF4" w:rsidR="00C6702A" w:rsidRDefault="00C6702A" w:rsidP="00B55A3C">
      <w:pPr>
        <w:pStyle w:val="ListParagraph"/>
        <w:numPr>
          <w:ilvl w:val="2"/>
          <w:numId w:val="9"/>
        </w:numPr>
        <w:spacing w:after="120"/>
        <w:contextualSpacing w:val="0"/>
        <w:rPr>
          <w:b/>
          <w:sz w:val="24"/>
          <w:szCs w:val="24"/>
          <w:lang w:val="en-GB"/>
        </w:rPr>
      </w:pPr>
      <w:r w:rsidRPr="00C6702A">
        <w:rPr>
          <w:b/>
          <w:lang w:val="en-GB"/>
        </w:rPr>
        <w:t>Bold (Calibri 11)</w:t>
      </w:r>
    </w:p>
    <w:p w14:paraId="41D21034" w14:textId="391E04A2" w:rsidR="00180B7F" w:rsidRPr="00C6702A" w:rsidRDefault="00C6702A" w:rsidP="00B55A3C">
      <w:pPr>
        <w:pStyle w:val="ListParagraph"/>
        <w:spacing w:after="120"/>
        <w:ind w:left="709"/>
        <w:contextualSpacing w:val="0"/>
        <w:rPr>
          <w:bCs/>
          <w:sz w:val="24"/>
          <w:szCs w:val="24"/>
          <w:lang w:val="en-GB"/>
        </w:rPr>
      </w:pPr>
      <w:r w:rsidRPr="00C6702A">
        <w:rPr>
          <w:bCs/>
          <w:lang w:val="en-GB"/>
        </w:rPr>
        <w:t>Text (Calibri 11)</w:t>
      </w:r>
    </w:p>
    <w:p w14:paraId="79AB75D6" w14:textId="30775963" w:rsidR="00880081" w:rsidRPr="00880081" w:rsidRDefault="00880081" w:rsidP="00880081">
      <w:pPr>
        <w:rPr>
          <w:lang w:val="en-GB"/>
        </w:rPr>
      </w:pPr>
      <w:r w:rsidRPr="00880081">
        <w:rPr>
          <w:lang w:val="en-GB"/>
        </w:rPr>
        <w:t xml:space="preserve">This </w:t>
      </w:r>
      <w:r w:rsidR="00860E44">
        <w:rPr>
          <w:lang w:val="en-GB"/>
        </w:rPr>
        <w:t>section</w:t>
      </w:r>
      <w:r w:rsidRPr="00880081">
        <w:rPr>
          <w:lang w:val="en-GB"/>
        </w:rPr>
        <w:t xml:space="preserve"> shall give any definitions of terms used in the text that may be necessary for its complete understanding. It is recommended that reference be made to already existing definitions and/or terminology wherever possible. </w:t>
      </w:r>
      <w:r w:rsidR="00BB2EDE">
        <w:rPr>
          <w:lang w:val="en-GB"/>
        </w:rPr>
        <w:t xml:space="preserve">If numbering is required, please use a list or multilevel list following the formatting in the example above. </w:t>
      </w:r>
    </w:p>
    <w:p w14:paraId="41D4854F" w14:textId="77777777" w:rsidR="00880081" w:rsidRPr="00880081" w:rsidRDefault="001C5534" w:rsidP="00FB2F32">
      <w:pPr>
        <w:pStyle w:val="Heading2"/>
      </w:pPr>
      <w:r>
        <w:t xml:space="preserve">5. </w:t>
      </w:r>
      <w:r w:rsidR="00880081" w:rsidRPr="00880081">
        <w:t>REFERENCES</w:t>
      </w:r>
    </w:p>
    <w:p w14:paraId="110AF734" w14:textId="77777777" w:rsidR="00880081" w:rsidRPr="00880081" w:rsidRDefault="00880081" w:rsidP="00880081">
      <w:pPr>
        <w:rPr>
          <w:lang w:val="en-GB"/>
        </w:rPr>
      </w:pPr>
      <w:r w:rsidRPr="00880081">
        <w:rPr>
          <w:lang w:val="en-GB"/>
        </w:rPr>
        <w:lastRenderedPageBreak/>
        <w:t>Refer to the documents, indicating either the most recent edition or year or as undated; only stating the number. If the reference is specified without the year of publication, it might be noted that it refers to the latest version of the document, inc. possibly</w:t>
      </w:r>
      <w:r w:rsidR="001C5534">
        <w:rPr>
          <w:lang w:val="en-GB"/>
        </w:rPr>
        <w:t xml:space="preserve"> additions.</w:t>
      </w:r>
    </w:p>
    <w:p w14:paraId="6CBA2EA6" w14:textId="0FF823F1" w:rsidR="00880081" w:rsidRPr="00880081" w:rsidRDefault="00C6702A" w:rsidP="00880081">
      <w:pPr>
        <w:rPr>
          <w:lang w:val="en-GB"/>
        </w:rPr>
      </w:pPr>
      <w:r w:rsidRPr="00880081">
        <w:rPr>
          <w:lang w:val="en-GB"/>
        </w:rPr>
        <w:t>Regarding</w:t>
      </w:r>
      <w:r w:rsidR="00880081" w:rsidRPr="00880081">
        <w:rPr>
          <w:lang w:val="en-GB"/>
        </w:rPr>
        <w:t xml:space="preserve"> </w:t>
      </w:r>
      <w:r w:rsidR="00510F06" w:rsidRPr="00880081">
        <w:rPr>
          <w:lang w:val="en-GB"/>
        </w:rPr>
        <w:t>sampling,</w:t>
      </w:r>
      <w:r w:rsidR="00880081" w:rsidRPr="00880081">
        <w:rPr>
          <w:lang w:val="en-GB"/>
        </w:rPr>
        <w:t xml:space="preserve"> refer to NMKL Procedure No 12: Guide on </w:t>
      </w:r>
      <w:r w:rsidR="001C5534">
        <w:rPr>
          <w:lang w:val="en-GB"/>
        </w:rPr>
        <w:t>sampling for analysis of foods.</w:t>
      </w:r>
    </w:p>
    <w:p w14:paraId="3D9C8F50" w14:textId="77777777" w:rsidR="00880081" w:rsidRPr="00880081" w:rsidRDefault="00880081" w:rsidP="00880081">
      <w:pPr>
        <w:rPr>
          <w:lang w:val="en-GB"/>
        </w:rPr>
      </w:pPr>
      <w:r w:rsidRPr="00880081">
        <w:rPr>
          <w:lang w:val="en-GB"/>
        </w:rPr>
        <w:t>The following documents should often be referred to in microbiological methods:</w:t>
      </w:r>
    </w:p>
    <w:p w14:paraId="3A32D764" w14:textId="77777777" w:rsidR="00880081" w:rsidRPr="00880081" w:rsidRDefault="00880081" w:rsidP="00880081">
      <w:pPr>
        <w:rPr>
          <w:lang w:val="en-GB"/>
        </w:rPr>
      </w:pPr>
      <w:r w:rsidRPr="00880081">
        <w:rPr>
          <w:lang w:val="en-GB"/>
        </w:rPr>
        <w:t>-</w:t>
      </w:r>
      <w:r w:rsidRPr="00880081">
        <w:rPr>
          <w:lang w:val="en-GB"/>
        </w:rPr>
        <w:tab/>
        <w:t xml:space="preserve">NMKL Procedure No. 23: Guide on quality assurance in microbiological laboratories </w:t>
      </w:r>
    </w:p>
    <w:p w14:paraId="36A01291" w14:textId="423B1E66" w:rsidR="00880081" w:rsidRPr="00880081" w:rsidRDefault="00880081" w:rsidP="00880081">
      <w:pPr>
        <w:rPr>
          <w:lang w:val="en-GB"/>
        </w:rPr>
      </w:pPr>
      <w:r w:rsidRPr="00880081">
        <w:rPr>
          <w:lang w:val="en-GB"/>
        </w:rPr>
        <w:t>-</w:t>
      </w:r>
      <w:r w:rsidRPr="00880081">
        <w:rPr>
          <w:lang w:val="en-GB"/>
        </w:rPr>
        <w:tab/>
        <w:t>NMKL Method No. 91: Preparation of the test sample and initial su</w:t>
      </w:r>
      <w:r w:rsidR="001D58FB">
        <w:rPr>
          <w:lang w:val="en-GB"/>
        </w:rPr>
        <w:t>s</w:t>
      </w:r>
      <w:r w:rsidRPr="00880081">
        <w:rPr>
          <w:lang w:val="en-GB"/>
        </w:rPr>
        <w:t xml:space="preserve">pension of food and animal feeding stuffs for quantitative microbiological examination </w:t>
      </w:r>
    </w:p>
    <w:p w14:paraId="35F5099C" w14:textId="77777777" w:rsidR="001C5534" w:rsidRPr="00FB2F32" w:rsidRDefault="001C5534" w:rsidP="00FB2F32">
      <w:pPr>
        <w:pStyle w:val="Heading2"/>
      </w:pPr>
      <w:r w:rsidRPr="00FB2F32">
        <w:t>6. PRINCIPLE</w:t>
      </w:r>
    </w:p>
    <w:p w14:paraId="147E83B6" w14:textId="3D878C86" w:rsidR="001C5534" w:rsidRPr="001C5534" w:rsidRDefault="001C5534" w:rsidP="001C5534">
      <w:pPr>
        <w:rPr>
          <w:lang w:val="en-GB"/>
        </w:rPr>
      </w:pPr>
      <w:r w:rsidRPr="001C5534">
        <w:rPr>
          <w:lang w:val="en-GB"/>
        </w:rPr>
        <w:t xml:space="preserve">This </w:t>
      </w:r>
      <w:r w:rsidR="00860E44">
        <w:rPr>
          <w:lang w:val="en-GB"/>
        </w:rPr>
        <w:t>section</w:t>
      </w:r>
      <w:r w:rsidRPr="001C5534">
        <w:rPr>
          <w:lang w:val="en-GB"/>
        </w:rPr>
        <w:t xml:space="preserve"> indicates the essential steps in the method used, the basic principles and the properties of which use is made and, if appropriate, the reasons justifying the</w:t>
      </w:r>
      <w:r>
        <w:rPr>
          <w:lang w:val="en-GB"/>
        </w:rPr>
        <w:t xml:space="preserve"> choice of certain procedures.</w:t>
      </w:r>
    </w:p>
    <w:p w14:paraId="548F8F05" w14:textId="7335065D" w:rsidR="001C5534" w:rsidRPr="001C5534" w:rsidRDefault="001C5534" w:rsidP="001C5534">
      <w:pPr>
        <w:rPr>
          <w:lang w:val="en-GB"/>
        </w:rPr>
      </w:pPr>
      <w:r w:rsidRPr="001C5534">
        <w:rPr>
          <w:lang w:val="en-GB"/>
        </w:rPr>
        <w:t xml:space="preserve">The text should be in accordance with the text of </w:t>
      </w:r>
      <w:r w:rsidR="00860E44">
        <w:rPr>
          <w:lang w:val="en-GB"/>
        </w:rPr>
        <w:t>section</w:t>
      </w:r>
      <w:r w:rsidRPr="001C5534">
        <w:rPr>
          <w:lang w:val="en-GB"/>
        </w:rPr>
        <w:t xml:space="preserve"> 3, “Definitions” in </w:t>
      </w:r>
      <w:r>
        <w:rPr>
          <w:lang w:val="en-GB"/>
        </w:rPr>
        <w:t>terms of the properties tested.</w:t>
      </w:r>
    </w:p>
    <w:p w14:paraId="226E8B9C" w14:textId="2E8D23B9" w:rsidR="001C5534" w:rsidRPr="001C5534" w:rsidRDefault="001C5534" w:rsidP="001C5534">
      <w:pPr>
        <w:rPr>
          <w:lang w:val="en-GB"/>
        </w:rPr>
      </w:pPr>
      <w:r w:rsidRPr="001C5534">
        <w:rPr>
          <w:lang w:val="en-GB"/>
        </w:rPr>
        <w:t xml:space="preserve">Chemical reactions can be included in this </w:t>
      </w:r>
      <w:r w:rsidR="00860E44">
        <w:rPr>
          <w:lang w:val="en-GB"/>
        </w:rPr>
        <w:t>section</w:t>
      </w:r>
      <w:r w:rsidRPr="001C5534">
        <w:rPr>
          <w:lang w:val="en-GB"/>
        </w:rPr>
        <w:t xml:space="preserve"> if they are considered necessary for the comprehension of the text or the calculations. These reactions shall, if appropriate, be expressed in ionic form. When titrations are involved, the reactions are particularly useful in indicating the number of equivalents in each mole of rea</w:t>
      </w:r>
      <w:r>
        <w:rPr>
          <w:lang w:val="en-GB"/>
        </w:rPr>
        <w:t xml:space="preserve">ctant. </w:t>
      </w:r>
    </w:p>
    <w:p w14:paraId="05EE9C84" w14:textId="77777777" w:rsidR="001C5534" w:rsidRPr="001C5534" w:rsidRDefault="001C5534" w:rsidP="00FB2F32">
      <w:pPr>
        <w:pStyle w:val="Heading2"/>
      </w:pPr>
      <w:r>
        <w:t xml:space="preserve">7. </w:t>
      </w:r>
      <w:r w:rsidRPr="001C5534">
        <w:t>SAFETY PRECAUTION</w:t>
      </w:r>
    </w:p>
    <w:p w14:paraId="2DF73A50" w14:textId="77A02D32" w:rsidR="001C5534" w:rsidRPr="001C5534" w:rsidRDefault="001C5534" w:rsidP="001C5534">
      <w:pPr>
        <w:rPr>
          <w:lang w:val="en-GB"/>
        </w:rPr>
      </w:pPr>
      <w:r w:rsidRPr="001C5534">
        <w:rPr>
          <w:lang w:val="en-GB"/>
        </w:rPr>
        <w:t xml:space="preserve">This </w:t>
      </w:r>
      <w:r w:rsidR="00860E44">
        <w:rPr>
          <w:lang w:val="en-GB"/>
        </w:rPr>
        <w:t>section</w:t>
      </w:r>
      <w:r w:rsidRPr="001C5534">
        <w:rPr>
          <w:lang w:val="en-GB"/>
        </w:rPr>
        <w:t xml:space="preserve"> specifies general safety instructions.</w:t>
      </w:r>
    </w:p>
    <w:p w14:paraId="0084D80C" w14:textId="4B6536D0" w:rsidR="001C5534" w:rsidRPr="001C5534" w:rsidRDefault="001C5534" w:rsidP="00FB2F32">
      <w:pPr>
        <w:pStyle w:val="Heading2"/>
      </w:pPr>
      <w:r>
        <w:t xml:space="preserve">8. </w:t>
      </w:r>
      <w:r w:rsidR="00B42F50">
        <w:t>REAGENTS AND PREPARATION OF SOLVENTS</w:t>
      </w:r>
      <w:r w:rsidR="0065052E">
        <w:t>/ CULTURE MEDIA AND REAGENTS</w:t>
      </w:r>
    </w:p>
    <w:p w14:paraId="0360F4B1" w14:textId="60A59BDF" w:rsidR="001C5534" w:rsidRPr="001C5534" w:rsidRDefault="001C5534" w:rsidP="001C5534">
      <w:pPr>
        <w:rPr>
          <w:lang w:val="en-GB"/>
        </w:rPr>
      </w:pPr>
      <w:r w:rsidRPr="001C5534">
        <w:rPr>
          <w:lang w:val="en-GB"/>
        </w:rPr>
        <w:t xml:space="preserve">The title of this section </w:t>
      </w:r>
      <w:r w:rsidR="00422159">
        <w:rPr>
          <w:lang w:val="en-GB"/>
        </w:rPr>
        <w:t>and subsections are</w:t>
      </w:r>
      <w:r w:rsidRPr="001C5534">
        <w:rPr>
          <w:lang w:val="en-GB"/>
        </w:rPr>
        <w:t xml:space="preserve"> selected </w:t>
      </w:r>
      <w:r w:rsidR="00492812" w:rsidRPr="001C5534">
        <w:rPr>
          <w:lang w:val="en-GB"/>
        </w:rPr>
        <w:t>based on</w:t>
      </w:r>
      <w:r>
        <w:rPr>
          <w:lang w:val="en-GB"/>
        </w:rPr>
        <w:t xml:space="preserve"> what is appropriate</w:t>
      </w:r>
      <w:r w:rsidR="00422159">
        <w:rPr>
          <w:lang w:val="en-GB"/>
        </w:rPr>
        <w:t xml:space="preserve"> for the respective method</w:t>
      </w:r>
      <w:r>
        <w:rPr>
          <w:lang w:val="en-GB"/>
        </w:rPr>
        <w:t xml:space="preserve">. </w:t>
      </w:r>
    </w:p>
    <w:p w14:paraId="2B9B87A2" w14:textId="6203CFB0" w:rsidR="00422159" w:rsidRPr="00422159" w:rsidRDefault="00FE0305" w:rsidP="00422159">
      <w:pPr>
        <w:pBdr>
          <w:bottom w:val="single" w:sz="4" w:space="1" w:color="auto"/>
        </w:pBdr>
        <w:rPr>
          <w:b/>
          <w:bCs/>
          <w:lang w:val="en-GB"/>
        </w:rPr>
      </w:pPr>
      <w:r>
        <w:rPr>
          <w:b/>
          <w:bCs/>
          <w:lang w:val="en-GB"/>
        </w:rPr>
        <w:t xml:space="preserve">FOR </w:t>
      </w:r>
      <w:r w:rsidR="00422159" w:rsidRPr="00422159">
        <w:rPr>
          <w:b/>
          <w:bCs/>
          <w:lang w:val="en-GB"/>
        </w:rPr>
        <w:t>CHEMISTRY / SENSORY METHODS</w:t>
      </w:r>
      <w:r w:rsidR="0090066D">
        <w:rPr>
          <w:b/>
          <w:bCs/>
          <w:lang w:val="en-GB"/>
        </w:rPr>
        <w:t>:</w:t>
      </w:r>
    </w:p>
    <w:p w14:paraId="24EE53D5" w14:textId="0F058B90" w:rsidR="00E836AA" w:rsidRPr="00E836AA" w:rsidRDefault="00E836AA" w:rsidP="00E836AA">
      <w:pPr>
        <w:rPr>
          <w:lang w:val="en-GB"/>
        </w:rPr>
      </w:pPr>
      <w:r w:rsidRPr="001C5534">
        <w:rPr>
          <w:lang w:val="en-GB"/>
        </w:rPr>
        <w:t>Water shall meet the requirements specified in NMKL Procedure No 23. In the method description use the term "distilled or equivalent water”.</w:t>
      </w:r>
    </w:p>
    <w:p w14:paraId="61F8F30A" w14:textId="4C599D24" w:rsidR="00FE0305" w:rsidRPr="00B55A3C" w:rsidRDefault="00FE0305" w:rsidP="00B55A3C">
      <w:pPr>
        <w:pStyle w:val="Heading3"/>
      </w:pPr>
      <w:r w:rsidRPr="00B55A3C">
        <w:t>8.1</w:t>
      </w:r>
      <w:r w:rsidRPr="00B55A3C">
        <w:tab/>
        <w:t>List of chemicals</w:t>
      </w:r>
    </w:p>
    <w:p w14:paraId="130CCDFD" w14:textId="1C267FD5" w:rsidR="001C5534" w:rsidRPr="001C5534" w:rsidRDefault="001C5534" w:rsidP="001C5534">
      <w:pPr>
        <w:rPr>
          <w:lang w:val="en-GB"/>
        </w:rPr>
      </w:pPr>
      <w:r w:rsidRPr="001C5534">
        <w:rPr>
          <w:lang w:val="en-GB"/>
        </w:rPr>
        <w:t xml:space="preserve">The </w:t>
      </w:r>
      <w:r w:rsidR="00860E44">
        <w:rPr>
          <w:lang w:val="en-GB"/>
        </w:rPr>
        <w:t>section</w:t>
      </w:r>
      <w:r w:rsidRPr="001C5534">
        <w:rPr>
          <w:lang w:val="en-GB"/>
        </w:rPr>
        <w:t xml:space="preserve"> shall begin, if applicable, with the following sentence or a suitably modified version of it: “Use reagents of recognized analytical grade and distilled or demineralized water o</w:t>
      </w:r>
      <w:r>
        <w:rPr>
          <w:lang w:val="en-GB"/>
        </w:rPr>
        <w:t xml:space="preserve">r water of equivalent purity.” </w:t>
      </w:r>
    </w:p>
    <w:p w14:paraId="6D472871" w14:textId="7612C43F" w:rsidR="001C5534" w:rsidRPr="001C5534" w:rsidRDefault="001C5534" w:rsidP="001C5534">
      <w:pPr>
        <w:rPr>
          <w:lang w:val="en-GB"/>
        </w:rPr>
      </w:pPr>
      <w:r w:rsidRPr="001C5534">
        <w:rPr>
          <w:lang w:val="en-GB"/>
        </w:rPr>
        <w:t xml:space="preserve">This </w:t>
      </w:r>
      <w:r w:rsidR="00860E44">
        <w:rPr>
          <w:lang w:val="en-GB"/>
        </w:rPr>
        <w:t>section</w:t>
      </w:r>
      <w:r w:rsidRPr="001C5534">
        <w:rPr>
          <w:lang w:val="en-GB"/>
        </w:rPr>
        <w:t xml:space="preserve"> shall list all the reagents and materials used during the test, together with their essential characteristics (concentration, density, etc.), and shall specify, if necessary, their degree of purity. If they exist, Chemical Abstract Service Registry numbers (CAS numbers) should preferably be given. The list shall not include products used only in the preparation of a </w:t>
      </w:r>
      <w:r w:rsidR="00FE0305" w:rsidRPr="001C5534">
        <w:rPr>
          <w:lang w:val="en-GB"/>
        </w:rPr>
        <w:t>reagent unless</w:t>
      </w:r>
      <w:r w:rsidRPr="001C5534">
        <w:rPr>
          <w:lang w:val="en-GB"/>
        </w:rPr>
        <w:t xml:space="preserve"> the pr</w:t>
      </w:r>
      <w:r>
        <w:rPr>
          <w:lang w:val="en-GB"/>
        </w:rPr>
        <w:t xml:space="preserve">oducts are used several times. </w:t>
      </w:r>
    </w:p>
    <w:p w14:paraId="5DE76678" w14:textId="77777777" w:rsidR="001C5534" w:rsidRPr="001C5534" w:rsidRDefault="001C5534" w:rsidP="001C5534">
      <w:pPr>
        <w:rPr>
          <w:lang w:val="en-GB"/>
        </w:rPr>
      </w:pPr>
      <w:r w:rsidRPr="001C5534">
        <w:rPr>
          <w:lang w:val="en-GB"/>
        </w:rPr>
        <w:lastRenderedPageBreak/>
        <w:t xml:space="preserve">The reagents and materials shall be identified by a (sequential) reference number. These numbers are referred to (in parentheses) in the procedure description. It is not necessary, however, to repeat the reference number every time </w:t>
      </w:r>
      <w:r>
        <w:rPr>
          <w:lang w:val="en-GB"/>
        </w:rPr>
        <w:t xml:space="preserve">if no ambiguity is introduced. </w:t>
      </w:r>
    </w:p>
    <w:p w14:paraId="1152E755" w14:textId="77777777" w:rsidR="001C5534" w:rsidRPr="001C5534" w:rsidRDefault="001C5534" w:rsidP="001C5534">
      <w:pPr>
        <w:rPr>
          <w:lang w:val="en-GB"/>
        </w:rPr>
      </w:pPr>
      <w:r w:rsidRPr="001C5534">
        <w:rPr>
          <w:lang w:val="en-GB"/>
        </w:rPr>
        <w:t xml:space="preserve">If necessary, the precautions to be taken for storing the reagents, and the time for which they may </w:t>
      </w:r>
      <w:r>
        <w:rPr>
          <w:lang w:val="en-GB"/>
        </w:rPr>
        <w:t xml:space="preserve">be stored, shall be specified. </w:t>
      </w:r>
    </w:p>
    <w:p w14:paraId="34816446" w14:textId="77777777" w:rsidR="001C5534" w:rsidRPr="001C5534" w:rsidRDefault="001C5534" w:rsidP="001C5534">
      <w:pPr>
        <w:rPr>
          <w:lang w:val="en-GB"/>
        </w:rPr>
      </w:pPr>
      <w:r w:rsidRPr="001C5534">
        <w:rPr>
          <w:lang w:val="en-GB"/>
        </w:rPr>
        <w:t xml:space="preserve">It is desirable to list the substances/reagents in the following order: </w:t>
      </w:r>
    </w:p>
    <w:p w14:paraId="5E0534EE" w14:textId="77777777" w:rsidR="00FB2F32" w:rsidRDefault="001C5534" w:rsidP="001C5534">
      <w:pPr>
        <w:pStyle w:val="ListParagraph"/>
        <w:numPr>
          <w:ilvl w:val="0"/>
          <w:numId w:val="2"/>
        </w:numPr>
        <w:rPr>
          <w:lang w:val="en-GB"/>
        </w:rPr>
      </w:pPr>
      <w:r w:rsidRPr="00FB2F32">
        <w:rPr>
          <w:lang w:val="en-GB"/>
        </w:rPr>
        <w:t xml:space="preserve">products used in their commercially available </w:t>
      </w:r>
      <w:proofErr w:type="gramStart"/>
      <w:r w:rsidRPr="00FB2F32">
        <w:rPr>
          <w:lang w:val="en-GB"/>
        </w:rPr>
        <w:t>form</w:t>
      </w:r>
      <w:proofErr w:type="gramEnd"/>
      <w:r w:rsidRPr="00FB2F32">
        <w:rPr>
          <w:lang w:val="en-GB"/>
        </w:rPr>
        <w:t xml:space="preserve"> </w:t>
      </w:r>
    </w:p>
    <w:p w14:paraId="5E03F69E" w14:textId="77777777" w:rsidR="00FB2F32" w:rsidRDefault="001C5534" w:rsidP="001C5534">
      <w:pPr>
        <w:pStyle w:val="ListParagraph"/>
        <w:numPr>
          <w:ilvl w:val="0"/>
          <w:numId w:val="2"/>
        </w:numPr>
        <w:rPr>
          <w:lang w:val="en-GB"/>
        </w:rPr>
      </w:pPr>
      <w:r w:rsidRPr="00FB2F32">
        <w:rPr>
          <w:lang w:val="en-GB"/>
        </w:rPr>
        <w:t xml:space="preserve">aqueous solutions </w:t>
      </w:r>
    </w:p>
    <w:p w14:paraId="7404C6EB" w14:textId="77777777" w:rsidR="00FB2F32" w:rsidRDefault="001C5534" w:rsidP="001C5534">
      <w:pPr>
        <w:pStyle w:val="ListParagraph"/>
        <w:numPr>
          <w:ilvl w:val="0"/>
          <w:numId w:val="2"/>
        </w:numPr>
        <w:rPr>
          <w:lang w:val="en-GB"/>
        </w:rPr>
      </w:pPr>
      <w:r w:rsidRPr="00FB2F32">
        <w:rPr>
          <w:lang w:val="en-GB"/>
        </w:rPr>
        <w:t xml:space="preserve">solutions of defined concentration </w:t>
      </w:r>
    </w:p>
    <w:p w14:paraId="08DDDD3A" w14:textId="77777777" w:rsidR="00FB2F32" w:rsidRDefault="001C5534" w:rsidP="001C5534">
      <w:pPr>
        <w:pStyle w:val="ListParagraph"/>
        <w:numPr>
          <w:ilvl w:val="0"/>
          <w:numId w:val="2"/>
        </w:numPr>
        <w:rPr>
          <w:lang w:val="en-GB"/>
        </w:rPr>
      </w:pPr>
      <w:r w:rsidRPr="00FB2F32">
        <w:rPr>
          <w:lang w:val="en-GB"/>
        </w:rPr>
        <w:t>standard reference solution (in mol/L)</w:t>
      </w:r>
    </w:p>
    <w:p w14:paraId="179B3684" w14:textId="4A84A665" w:rsidR="001C5534" w:rsidRPr="00FB2F32" w:rsidRDefault="001C5534" w:rsidP="001C5534">
      <w:pPr>
        <w:pStyle w:val="ListParagraph"/>
        <w:numPr>
          <w:ilvl w:val="0"/>
          <w:numId w:val="2"/>
        </w:numPr>
        <w:rPr>
          <w:lang w:val="en-GB"/>
        </w:rPr>
      </w:pPr>
      <w:r w:rsidRPr="00FB2F32">
        <w:rPr>
          <w:lang w:val="en-GB"/>
        </w:rPr>
        <w:t>standard solution (in g/L(kg) or a submultiple thereof).</w:t>
      </w:r>
    </w:p>
    <w:p w14:paraId="334BD299" w14:textId="5DF04D3A" w:rsidR="001C5534" w:rsidRPr="001C5534" w:rsidRDefault="001C5534" w:rsidP="001C5534">
      <w:pPr>
        <w:rPr>
          <w:lang w:val="en-GB"/>
        </w:rPr>
      </w:pPr>
      <w:r w:rsidRPr="001C5534">
        <w:rPr>
          <w:lang w:val="en-GB"/>
        </w:rPr>
        <w:t xml:space="preserve">The expression “V1 +V2” means that the volume V1 of the solution in question is/has been added to the volume V2 of the solvent. </w:t>
      </w:r>
    </w:p>
    <w:p w14:paraId="334F83E5" w14:textId="18BB8F88" w:rsidR="001C5534" w:rsidRDefault="001C5534" w:rsidP="001C5534">
      <w:pPr>
        <w:rPr>
          <w:lang w:val="en-GB"/>
        </w:rPr>
      </w:pPr>
      <w:r w:rsidRPr="001C5534">
        <w:rPr>
          <w:lang w:val="en-GB"/>
        </w:rPr>
        <w:t>Expressions such as “V1:V2” or “V1/V2” which have different meanings in different countries shall not be used.</w:t>
      </w:r>
    </w:p>
    <w:p w14:paraId="05C4EC52" w14:textId="77777777" w:rsidR="00517D32" w:rsidRDefault="00FE0305" w:rsidP="00B55A3C">
      <w:pPr>
        <w:pStyle w:val="Heading3"/>
      </w:pPr>
      <w:r w:rsidRPr="00FB2F32">
        <w:t>8.</w:t>
      </w:r>
      <w:r>
        <w:t>2</w:t>
      </w:r>
      <w:r>
        <w:tab/>
      </w:r>
      <w:r w:rsidR="00B52E16">
        <w:t>Preparation of solvents</w:t>
      </w:r>
    </w:p>
    <w:p w14:paraId="4BB6659B" w14:textId="77777777" w:rsidR="00C41D3F" w:rsidRDefault="00517D32" w:rsidP="00B55A3C">
      <w:pPr>
        <w:pStyle w:val="Heading3"/>
      </w:pPr>
      <w:r>
        <w:t>8.3</w:t>
      </w:r>
      <w:r>
        <w:tab/>
      </w:r>
      <w:r w:rsidR="00B52E16">
        <w:t>Standards</w:t>
      </w:r>
    </w:p>
    <w:p w14:paraId="1E945E24" w14:textId="2495A16D" w:rsidR="00B55A3C" w:rsidRDefault="00C41D3F" w:rsidP="00443A9A">
      <w:pPr>
        <w:pStyle w:val="Heading3"/>
      </w:pPr>
      <w:r>
        <w:t>8.4</w:t>
      </w:r>
      <w:r>
        <w:tab/>
      </w:r>
      <w:r w:rsidR="00B52E16">
        <w:t>Standard solutions</w:t>
      </w:r>
    </w:p>
    <w:p w14:paraId="169D5DCE" w14:textId="77777777" w:rsidR="00443A9A" w:rsidRPr="00443A9A" w:rsidRDefault="00443A9A" w:rsidP="00443A9A">
      <w:pPr>
        <w:rPr>
          <w:lang w:val="en-GB"/>
        </w:rPr>
      </w:pPr>
    </w:p>
    <w:p w14:paraId="35F7D653" w14:textId="47436D60" w:rsidR="00422159" w:rsidRPr="00FE0305" w:rsidRDefault="00FE0305" w:rsidP="00422159">
      <w:pPr>
        <w:pBdr>
          <w:bottom w:val="single" w:sz="4" w:space="1" w:color="auto"/>
        </w:pBdr>
        <w:rPr>
          <w:b/>
          <w:bCs/>
          <w:lang w:val="en-GB"/>
        </w:rPr>
      </w:pPr>
      <w:r>
        <w:rPr>
          <w:b/>
          <w:bCs/>
          <w:lang w:val="en-GB"/>
        </w:rPr>
        <w:t xml:space="preserve">FOR </w:t>
      </w:r>
      <w:r w:rsidR="00422159" w:rsidRPr="00FE0305">
        <w:rPr>
          <w:b/>
          <w:bCs/>
          <w:lang w:val="en-GB"/>
        </w:rPr>
        <w:t>MICROBIOLOGY METHODS</w:t>
      </w:r>
      <w:r w:rsidR="0090066D">
        <w:rPr>
          <w:b/>
          <w:bCs/>
          <w:lang w:val="en-GB"/>
        </w:rPr>
        <w:t>:</w:t>
      </w:r>
    </w:p>
    <w:p w14:paraId="0A0D5F17" w14:textId="77777777" w:rsidR="00EA15A3" w:rsidRPr="001C5534" w:rsidRDefault="00EA15A3" w:rsidP="00EA15A3">
      <w:pPr>
        <w:rPr>
          <w:lang w:val="en-GB"/>
        </w:rPr>
      </w:pPr>
      <w:r w:rsidRPr="001C5534">
        <w:rPr>
          <w:lang w:val="en-GB"/>
        </w:rPr>
        <w:t>Water shall meet the requirements specified in NMKL Procedure No 23. In the method description use the term "distilled or equivalent water”.</w:t>
      </w:r>
    </w:p>
    <w:p w14:paraId="3E059F3E" w14:textId="77777777" w:rsidR="00EA15A3" w:rsidRPr="001C5534" w:rsidRDefault="00EA15A3" w:rsidP="00EA15A3">
      <w:pPr>
        <w:rPr>
          <w:lang w:val="en-GB"/>
        </w:rPr>
      </w:pPr>
      <w:r w:rsidRPr="001C5534">
        <w:rPr>
          <w:lang w:val="en-GB"/>
        </w:rPr>
        <w:t>The possibility of using commercial substrates include, for example by reading "Commercial dehydrated culture media</w:t>
      </w:r>
      <w:r>
        <w:rPr>
          <w:lang w:val="en-GB"/>
        </w:rPr>
        <w:t xml:space="preserve"> / </w:t>
      </w:r>
      <w:r w:rsidRPr="001C5534">
        <w:rPr>
          <w:lang w:val="en-GB"/>
        </w:rPr>
        <w:t>materials are available and can be advantageous</w:t>
      </w:r>
      <w:r>
        <w:rPr>
          <w:lang w:val="en-GB"/>
        </w:rPr>
        <w:t>ly</w:t>
      </w:r>
      <w:r w:rsidRPr="001C5534">
        <w:rPr>
          <w:lang w:val="en-GB"/>
        </w:rPr>
        <w:t xml:space="preserve"> used. Using these, follow the manufacturer's instructions. "</w:t>
      </w:r>
    </w:p>
    <w:p w14:paraId="78BAD59A" w14:textId="77777777" w:rsidR="00EA15A3" w:rsidRPr="001C5534" w:rsidRDefault="00EA15A3" w:rsidP="00EA15A3">
      <w:pPr>
        <w:rPr>
          <w:lang w:val="en-GB"/>
        </w:rPr>
      </w:pPr>
      <w:r w:rsidRPr="001C5534">
        <w:rPr>
          <w:lang w:val="en-GB"/>
        </w:rPr>
        <w:t>Where relevant include safety precautions in connection with the preparation.</w:t>
      </w:r>
    </w:p>
    <w:p w14:paraId="789F159F" w14:textId="30BB5688" w:rsidR="00EA15A3" w:rsidRPr="00EA15A3" w:rsidRDefault="00EA15A3" w:rsidP="00EA15A3">
      <w:pPr>
        <w:rPr>
          <w:lang w:val="en-GB"/>
        </w:rPr>
      </w:pPr>
      <w:r w:rsidRPr="001C5534">
        <w:rPr>
          <w:lang w:val="en-GB"/>
        </w:rPr>
        <w:t>Sterilization conditions should be stated.</w:t>
      </w:r>
    </w:p>
    <w:p w14:paraId="5F897F20" w14:textId="5E3D8188" w:rsidR="00FE0305" w:rsidRDefault="00FE0305" w:rsidP="00B55A3C">
      <w:pPr>
        <w:pStyle w:val="Heading3"/>
      </w:pPr>
      <w:r>
        <w:t>8.1</w:t>
      </w:r>
      <w:r>
        <w:tab/>
      </w:r>
      <w:r w:rsidR="00631F47">
        <w:t>Diluent</w:t>
      </w:r>
    </w:p>
    <w:p w14:paraId="097AF2D6" w14:textId="0174589B" w:rsidR="001C5534" w:rsidRPr="001C5534" w:rsidRDefault="001C5534" w:rsidP="001C5534">
      <w:pPr>
        <w:rPr>
          <w:lang w:val="en-GB"/>
        </w:rPr>
      </w:pPr>
      <w:r w:rsidRPr="001C5534">
        <w:rPr>
          <w:lang w:val="en-GB"/>
        </w:rPr>
        <w:t>Diluent and its composition must always be stated.</w:t>
      </w:r>
    </w:p>
    <w:p w14:paraId="6524995D" w14:textId="6AC925C5" w:rsidR="001C5534" w:rsidRPr="001C5534" w:rsidRDefault="001C5534" w:rsidP="001C5534">
      <w:pPr>
        <w:rPr>
          <w:lang w:val="en-GB"/>
        </w:rPr>
      </w:pPr>
      <w:r w:rsidRPr="001C5534">
        <w:rPr>
          <w:lang w:val="en-GB"/>
        </w:rPr>
        <w:t xml:space="preserve">pH tolerances of diluent and substrates must be consistent with NMKL Procedure No. 23, </w:t>
      </w:r>
      <w:proofErr w:type="gramStart"/>
      <w:r w:rsidR="00C358E6" w:rsidRPr="001C5534">
        <w:rPr>
          <w:lang w:val="en-GB"/>
        </w:rPr>
        <w:t>i.e</w:t>
      </w:r>
      <w:r w:rsidRPr="001C5534">
        <w:rPr>
          <w:lang w:val="en-GB"/>
        </w:rPr>
        <w:t>.</w:t>
      </w:r>
      <w:proofErr w:type="gramEnd"/>
      <w:r w:rsidRPr="001C5534">
        <w:rPr>
          <w:lang w:val="en-GB"/>
        </w:rPr>
        <w:t xml:space="preserve"> ± 0.2, unless there is scientific justification for more stringent requirements.</w:t>
      </w:r>
    </w:p>
    <w:p w14:paraId="04CAAF12" w14:textId="2828258A" w:rsidR="001C5534" w:rsidRPr="001C5534" w:rsidRDefault="001C5534" w:rsidP="001C5534">
      <w:pPr>
        <w:rPr>
          <w:lang w:val="en-GB"/>
        </w:rPr>
      </w:pPr>
      <w:r w:rsidRPr="001C5534">
        <w:rPr>
          <w:lang w:val="en-GB"/>
        </w:rPr>
        <w:t xml:space="preserve">The pH of the diluent and the substrates relates to the substrate ready for use, measured at 20 to 25 º C. Include in the description: "After sterilization (heat treatment), the pH of the ready for use medium (dilution) should be </w:t>
      </w:r>
      <w:proofErr w:type="spellStart"/>
      <w:r w:rsidRPr="001C5534">
        <w:rPr>
          <w:lang w:val="en-GB"/>
        </w:rPr>
        <w:t>x</w:t>
      </w:r>
      <w:r w:rsidR="00C358E6">
        <w:rPr>
          <w:lang w:val="en-GB"/>
        </w:rPr>
        <w:t>.</w:t>
      </w:r>
      <w:r w:rsidRPr="001C5534">
        <w:rPr>
          <w:lang w:val="en-GB"/>
        </w:rPr>
        <w:t>y</w:t>
      </w:r>
      <w:proofErr w:type="spellEnd"/>
      <w:r w:rsidRPr="001C5534">
        <w:rPr>
          <w:lang w:val="en-GB"/>
        </w:rPr>
        <w:t xml:space="preserve"> ± 0.2 measured </w:t>
      </w:r>
      <w:r w:rsidR="00C358E6">
        <w:rPr>
          <w:lang w:val="en-GB"/>
        </w:rPr>
        <w:t>at</w:t>
      </w:r>
      <w:r w:rsidRPr="001C5534">
        <w:rPr>
          <w:lang w:val="en-GB"/>
        </w:rPr>
        <w:t xml:space="preserve"> 20 to 25 ºC." The time of the pH measurement is not conclusive and shall not be specified in the method.</w:t>
      </w:r>
    </w:p>
    <w:p w14:paraId="2EB893EC" w14:textId="301EF2F1" w:rsidR="001C5534" w:rsidRDefault="001C5534" w:rsidP="001C5534">
      <w:pPr>
        <w:rPr>
          <w:lang w:val="en-GB"/>
        </w:rPr>
      </w:pPr>
      <w:r w:rsidRPr="001C5534">
        <w:rPr>
          <w:lang w:val="en-GB"/>
        </w:rPr>
        <w:lastRenderedPageBreak/>
        <w:t xml:space="preserve">The choice of diluent should be in accordance with NMKL Method </w:t>
      </w:r>
      <w:proofErr w:type="gramStart"/>
      <w:r w:rsidRPr="001C5534">
        <w:rPr>
          <w:lang w:val="en-GB"/>
        </w:rPr>
        <w:t>No. 91, unless</w:t>
      </w:r>
      <w:proofErr w:type="gramEnd"/>
      <w:r w:rsidRPr="001C5534">
        <w:rPr>
          <w:lang w:val="en-GB"/>
        </w:rPr>
        <w:t xml:space="preserve"> there are technical reasons for another composition.</w:t>
      </w:r>
    </w:p>
    <w:p w14:paraId="07519496" w14:textId="77777777" w:rsidR="00EA15A3" w:rsidRDefault="001C5534" w:rsidP="00B55A3C">
      <w:pPr>
        <w:pStyle w:val="Heading3"/>
      </w:pPr>
      <w:r w:rsidRPr="001C5534">
        <w:t>8.</w:t>
      </w:r>
      <w:r w:rsidR="00EA15A3">
        <w:t>2</w:t>
      </w:r>
      <w:r w:rsidR="00FB2F32">
        <w:tab/>
      </w:r>
      <w:r w:rsidR="00EA15A3" w:rsidRPr="00EA15A3">
        <w:t xml:space="preserve">Liquid enrichment broths, </w:t>
      </w:r>
      <w:proofErr w:type="gramStart"/>
      <w:r w:rsidR="00EA15A3" w:rsidRPr="00EA15A3">
        <w:t>substrates</w:t>
      </w:r>
      <w:proofErr w:type="gramEnd"/>
      <w:r w:rsidR="00EA15A3" w:rsidRPr="00EA15A3">
        <w:t xml:space="preserve"> and reagents for confirmation </w:t>
      </w:r>
    </w:p>
    <w:p w14:paraId="2095C664" w14:textId="2C3BC48D" w:rsidR="001C5534" w:rsidRPr="00FB2F32" w:rsidRDefault="00B55A3C" w:rsidP="001C5534">
      <w:pPr>
        <w:rPr>
          <w:b/>
          <w:bCs/>
          <w:lang w:val="en-GB"/>
        </w:rPr>
      </w:pPr>
      <w:r>
        <w:rPr>
          <w:b/>
          <w:bCs/>
          <w:lang w:val="en-GB"/>
        </w:rPr>
        <w:t>8.3.1</w:t>
      </w:r>
      <w:r>
        <w:rPr>
          <w:b/>
          <w:bCs/>
          <w:lang w:val="en-GB"/>
        </w:rPr>
        <w:tab/>
      </w:r>
      <w:r w:rsidR="0083051E">
        <w:rPr>
          <w:b/>
          <w:bCs/>
          <w:lang w:val="en-GB"/>
        </w:rPr>
        <w:t>Name of broth</w:t>
      </w:r>
      <w:r w:rsidR="00CA1C8F">
        <w:rPr>
          <w:b/>
          <w:bCs/>
          <w:lang w:val="en-GB"/>
        </w:rPr>
        <w:t xml:space="preserve">, </w:t>
      </w:r>
      <w:proofErr w:type="gramStart"/>
      <w:r w:rsidR="00CA1C8F">
        <w:rPr>
          <w:b/>
          <w:bCs/>
          <w:lang w:val="en-GB"/>
        </w:rPr>
        <w:t>substrate</w:t>
      </w:r>
      <w:proofErr w:type="gramEnd"/>
      <w:r w:rsidR="00CA1C8F">
        <w:rPr>
          <w:b/>
          <w:bCs/>
          <w:lang w:val="en-GB"/>
        </w:rPr>
        <w:t xml:space="preserve"> or reagent</w:t>
      </w:r>
    </w:p>
    <w:p w14:paraId="75399FA4" w14:textId="466EAC69" w:rsidR="001C5534" w:rsidRPr="001C5534" w:rsidRDefault="001C5534" w:rsidP="001C5534">
      <w:pPr>
        <w:rPr>
          <w:lang w:val="en-GB"/>
        </w:rPr>
      </w:pPr>
      <w:r w:rsidRPr="001C5534">
        <w:rPr>
          <w:lang w:val="en-GB"/>
        </w:rPr>
        <w:t xml:space="preserve">The international name shall appear </w:t>
      </w:r>
      <w:r w:rsidR="007330F0">
        <w:rPr>
          <w:lang w:val="en-GB"/>
        </w:rPr>
        <w:t>in</w:t>
      </w:r>
      <w:r w:rsidRPr="001C5534">
        <w:rPr>
          <w:lang w:val="en-GB"/>
        </w:rPr>
        <w:t xml:space="preserve"> the English text.</w:t>
      </w:r>
    </w:p>
    <w:p w14:paraId="3E69E941" w14:textId="71AAB73C" w:rsidR="001C5534" w:rsidRPr="001C5534" w:rsidRDefault="001C5534" w:rsidP="001C5534">
      <w:pPr>
        <w:rPr>
          <w:lang w:val="en-GB"/>
        </w:rPr>
      </w:pPr>
      <w:r w:rsidRPr="001C5534">
        <w:rPr>
          <w:lang w:val="en-GB"/>
        </w:rPr>
        <w:t>In the case of substrates with mixtures, the first sub-paragraph describes the composition and preparation of the basis substrate and the following sub point(s) describes the composition and preparation of the mixture(s).</w:t>
      </w:r>
    </w:p>
    <w:p w14:paraId="0026278D" w14:textId="77777777" w:rsidR="001C5534" w:rsidRPr="001C5534" w:rsidRDefault="001C5534" w:rsidP="001C5534">
      <w:pPr>
        <w:rPr>
          <w:lang w:val="en-GB"/>
        </w:rPr>
      </w:pPr>
      <w:r w:rsidRPr="001C5534">
        <w:rPr>
          <w:lang w:val="en-GB"/>
        </w:rPr>
        <w:t xml:space="preserve">All the ingredients of substrates are to be included, including the chemical formula, and any crystal water if relevant. </w:t>
      </w:r>
    </w:p>
    <w:p w14:paraId="5E4A4075" w14:textId="3D44643F" w:rsidR="001C5534" w:rsidRPr="001C5534" w:rsidRDefault="001C5534" w:rsidP="001C5534">
      <w:pPr>
        <w:rPr>
          <w:lang w:val="en-GB"/>
        </w:rPr>
      </w:pPr>
      <w:r w:rsidRPr="001C5534">
        <w:rPr>
          <w:lang w:val="en-GB"/>
        </w:rPr>
        <w:t>If it is essential for the quality of the substrate, the ingredients must be stated with the appropriate number of decimals, also for the whole gram and ml.</w:t>
      </w:r>
    </w:p>
    <w:p w14:paraId="579F11C0" w14:textId="592A2CB8" w:rsidR="00CA1C8F" w:rsidRDefault="001C5534" w:rsidP="001C5534">
      <w:pPr>
        <w:rPr>
          <w:lang w:val="en-GB"/>
        </w:rPr>
      </w:pPr>
      <w:r w:rsidRPr="001C5534">
        <w:rPr>
          <w:lang w:val="en-GB"/>
        </w:rPr>
        <w:t xml:space="preserve">The water in substrates is given as the amount of water to be added. Where possible the composition of the substrate is given for the addition of 1000 ml of water. It should be clear stated if addition of water for dilutions, substrates are to a certain quantity, </w:t>
      </w:r>
      <w:proofErr w:type="gramStart"/>
      <w:r w:rsidR="007330F0" w:rsidRPr="001C5534">
        <w:rPr>
          <w:lang w:val="en-GB"/>
        </w:rPr>
        <w:t>e.g.</w:t>
      </w:r>
      <w:proofErr w:type="gramEnd"/>
      <w:r w:rsidRPr="001C5534">
        <w:rPr>
          <w:lang w:val="en-GB"/>
        </w:rPr>
        <w:t xml:space="preserve"> 1000 ml, or if an exact quantity is to be added (</w:t>
      </w:r>
      <w:r w:rsidR="007330F0" w:rsidRPr="001C5534">
        <w:rPr>
          <w:lang w:val="en-GB"/>
        </w:rPr>
        <w:t>e.g.</w:t>
      </w:r>
      <w:r w:rsidRPr="001C5534">
        <w:rPr>
          <w:lang w:val="en-GB"/>
        </w:rPr>
        <w:t xml:space="preserve"> add 1000 ml).</w:t>
      </w:r>
    </w:p>
    <w:p w14:paraId="1261821D" w14:textId="1B84D7C4" w:rsidR="00CA1C8F" w:rsidRPr="00CA1C8F" w:rsidRDefault="00CA1C8F" w:rsidP="00CA1C8F">
      <w:pPr>
        <w:pStyle w:val="Heading3"/>
      </w:pPr>
      <w:r w:rsidRPr="00CA1C8F">
        <w:rPr>
          <w:rStyle w:val="cf01"/>
          <w:rFonts w:asciiTheme="minorHAnsi" w:hAnsiTheme="minorHAnsi" w:cstheme="minorBidi"/>
          <w:sz w:val="24"/>
          <w:szCs w:val="24"/>
        </w:rPr>
        <w:t>8.3</w:t>
      </w:r>
      <w:r w:rsidRPr="00CA1C8F">
        <w:rPr>
          <w:rStyle w:val="cf01"/>
          <w:rFonts w:asciiTheme="minorHAnsi" w:hAnsiTheme="minorHAnsi" w:cstheme="minorBidi"/>
          <w:sz w:val="24"/>
          <w:szCs w:val="24"/>
        </w:rPr>
        <w:tab/>
        <w:t>Solid plating and confirmation media and reagents</w:t>
      </w:r>
    </w:p>
    <w:p w14:paraId="22470060" w14:textId="420278F1" w:rsidR="001C5534" w:rsidRPr="00FB2F32" w:rsidRDefault="00B55A3C" w:rsidP="001C5534">
      <w:pPr>
        <w:rPr>
          <w:b/>
          <w:lang w:val="en-GB"/>
        </w:rPr>
      </w:pPr>
      <w:r>
        <w:rPr>
          <w:b/>
          <w:lang w:val="en-GB"/>
        </w:rPr>
        <w:t>8.3.</w:t>
      </w:r>
      <w:r w:rsidR="00CA1C8F">
        <w:rPr>
          <w:b/>
          <w:lang w:val="en-GB"/>
        </w:rPr>
        <w:t>1</w:t>
      </w:r>
      <w:r>
        <w:rPr>
          <w:b/>
          <w:lang w:val="en-GB"/>
        </w:rPr>
        <w:tab/>
      </w:r>
      <w:r w:rsidR="00CA1C8F">
        <w:rPr>
          <w:b/>
          <w:lang w:val="en-GB"/>
        </w:rPr>
        <w:t xml:space="preserve">Name of </w:t>
      </w:r>
      <w:r w:rsidR="00AE2EAA">
        <w:rPr>
          <w:b/>
          <w:lang w:val="en-GB"/>
        </w:rPr>
        <w:t>medium or reagent</w:t>
      </w:r>
    </w:p>
    <w:p w14:paraId="503EB1FC" w14:textId="69D2B30C" w:rsidR="001C5534" w:rsidRPr="001C5534" w:rsidRDefault="001C5534" w:rsidP="001C5534">
      <w:pPr>
        <w:rPr>
          <w:lang w:val="en-GB"/>
        </w:rPr>
      </w:pPr>
      <w:r w:rsidRPr="001C5534">
        <w:rPr>
          <w:lang w:val="en-GB"/>
        </w:rPr>
        <w:t>The thickness of the plates or the amount of the substrates should be indicated, for example by the following text: "Pour the melted substrate in Petri dishes to a thickness of 3 mm. For a Petri dish with a diameter of 90 mm usually 18-20 ml agar required, or as specified in the method description. If the plates should be incubated beyond 48 hours or at temperatures above 40 °C, it is necessary with more agar."</w:t>
      </w:r>
    </w:p>
    <w:p w14:paraId="591FE4B9" w14:textId="2336A669" w:rsidR="001C5534" w:rsidRPr="00FB2F32" w:rsidRDefault="001C5534" w:rsidP="001C5534">
      <w:pPr>
        <w:rPr>
          <w:b/>
          <w:lang w:val="en-GB"/>
        </w:rPr>
      </w:pPr>
      <w:r w:rsidRPr="001C5534">
        <w:rPr>
          <w:b/>
          <w:lang w:val="en-GB"/>
        </w:rPr>
        <w:t>Requirements for equivalent substrates</w:t>
      </w:r>
    </w:p>
    <w:p w14:paraId="1F720F3E" w14:textId="029AC8A4" w:rsidR="001C5534" w:rsidRPr="001C5534" w:rsidRDefault="001C5534" w:rsidP="001C5534">
      <w:pPr>
        <w:rPr>
          <w:lang w:val="en-GB"/>
        </w:rPr>
      </w:pPr>
      <w:r w:rsidRPr="001C5534">
        <w:rPr>
          <w:lang w:val="en-GB"/>
        </w:rPr>
        <w:t>The general requirement of equivalent substrates is that they contain the same ingredients, both qualitatively and quantitatively as given in the method, and that physical properties such as pH are also identical.</w:t>
      </w:r>
    </w:p>
    <w:p w14:paraId="75BF768A" w14:textId="52F06EFA" w:rsidR="001C5534" w:rsidRPr="001C5534" w:rsidRDefault="001C5534" w:rsidP="001C5534">
      <w:pPr>
        <w:rPr>
          <w:lang w:val="en-GB"/>
        </w:rPr>
      </w:pPr>
      <w:r w:rsidRPr="001C5534">
        <w:rPr>
          <w:lang w:val="en-GB"/>
        </w:rPr>
        <w:t>A determination on</w:t>
      </w:r>
      <w:r w:rsidR="00E9641F">
        <w:rPr>
          <w:lang w:val="en-GB"/>
        </w:rPr>
        <w:t xml:space="preserve"> whether</w:t>
      </w:r>
      <w:r w:rsidRPr="001C5534">
        <w:rPr>
          <w:lang w:val="en-GB"/>
        </w:rPr>
        <w:t xml:space="preserve"> substrates of different composition and/or other characteristics are equal must depend on a concrete assessment in each case.</w:t>
      </w:r>
    </w:p>
    <w:p w14:paraId="4EEBE1C8" w14:textId="7BA37288" w:rsidR="001C5534" w:rsidRPr="001C5534" w:rsidRDefault="001C5534" w:rsidP="00FB2F32">
      <w:pPr>
        <w:pStyle w:val="Heading2"/>
      </w:pPr>
      <w:r>
        <w:t xml:space="preserve">9. </w:t>
      </w:r>
      <w:r w:rsidRPr="001C5534">
        <w:t xml:space="preserve">APPARATUS </w:t>
      </w:r>
      <w:r w:rsidR="008936F5">
        <w:t xml:space="preserve">AND </w:t>
      </w:r>
      <w:r w:rsidRPr="001C5534">
        <w:t>EQUIPMENT</w:t>
      </w:r>
    </w:p>
    <w:p w14:paraId="5294D101" w14:textId="6CDE40BD" w:rsidR="001C5534" w:rsidRPr="001C5534" w:rsidRDefault="001C5534" w:rsidP="001C5534">
      <w:pPr>
        <w:rPr>
          <w:lang w:val="en-GB"/>
        </w:rPr>
      </w:pPr>
      <w:r w:rsidRPr="001C5534">
        <w:rPr>
          <w:lang w:val="en-GB"/>
        </w:rPr>
        <w:t xml:space="preserve">This </w:t>
      </w:r>
      <w:r w:rsidR="00860E44">
        <w:rPr>
          <w:lang w:val="en-GB"/>
        </w:rPr>
        <w:t>section</w:t>
      </w:r>
      <w:r w:rsidRPr="001C5534">
        <w:rPr>
          <w:lang w:val="en-GB"/>
        </w:rPr>
        <w:t xml:space="preserve"> shall list the names and significant characteristics of all the apparatus and equipment, other than ordinary laboratory apparatus, to be used. </w:t>
      </w:r>
    </w:p>
    <w:p w14:paraId="490B6EB7" w14:textId="4021DE10" w:rsidR="001C5534" w:rsidRPr="001C5534" w:rsidRDefault="001C5534" w:rsidP="001C5534">
      <w:pPr>
        <w:rPr>
          <w:lang w:val="en-GB"/>
        </w:rPr>
      </w:pPr>
      <w:r w:rsidRPr="001C5534">
        <w:rPr>
          <w:lang w:val="en-GB"/>
        </w:rPr>
        <w:t xml:space="preserve">The items of apparatus shall be identified by a (sequential) reference number and referred to in the procedure description. It is not necessary, however, to repeat this reference number every time if no ambiguity is introduced. </w:t>
      </w:r>
    </w:p>
    <w:p w14:paraId="5039AB3E" w14:textId="6E50DFA8" w:rsidR="001C5534" w:rsidRPr="001C5534" w:rsidRDefault="001C5534" w:rsidP="00FB2F32">
      <w:pPr>
        <w:pStyle w:val="Heading2"/>
      </w:pPr>
      <w:r>
        <w:t>10.</w:t>
      </w:r>
      <w:r w:rsidRPr="001C5534">
        <w:t xml:space="preserve"> SAMPLING</w:t>
      </w:r>
    </w:p>
    <w:p w14:paraId="615494D6" w14:textId="2FA113B0" w:rsidR="001C5534" w:rsidRPr="001C5534" w:rsidRDefault="001C5534" w:rsidP="001C5534">
      <w:pPr>
        <w:rPr>
          <w:lang w:val="en-GB"/>
        </w:rPr>
      </w:pPr>
      <w:r w:rsidRPr="001C5534">
        <w:rPr>
          <w:lang w:val="en-GB"/>
        </w:rPr>
        <w:lastRenderedPageBreak/>
        <w:t>Refer as appropriate to specific sampling methods or to NMKL Procedure No. 12</w:t>
      </w:r>
    </w:p>
    <w:p w14:paraId="04DEAED6" w14:textId="77777777" w:rsidR="001C5534" w:rsidRPr="001C5534" w:rsidRDefault="001C5534" w:rsidP="001C5534">
      <w:pPr>
        <w:rPr>
          <w:lang w:val="en-GB"/>
        </w:rPr>
      </w:pPr>
      <w:r w:rsidRPr="001C5534">
        <w:rPr>
          <w:lang w:val="en-GB"/>
        </w:rPr>
        <w:t>The following terminology should be used.</w:t>
      </w:r>
    </w:p>
    <w:p w14:paraId="235A78B1" w14:textId="77777777" w:rsidR="00FB2F32" w:rsidRDefault="001C5534" w:rsidP="001C5534">
      <w:pPr>
        <w:pStyle w:val="ListParagraph"/>
        <w:numPr>
          <w:ilvl w:val="0"/>
          <w:numId w:val="3"/>
        </w:numPr>
        <w:rPr>
          <w:lang w:val="en-GB"/>
        </w:rPr>
      </w:pPr>
      <w:r w:rsidRPr="00FB2F32">
        <w:rPr>
          <w:lang w:val="en-GB"/>
        </w:rPr>
        <w:t>Laboratory sampl</w:t>
      </w:r>
      <w:r w:rsidR="00FB2F32">
        <w:rPr>
          <w:lang w:val="en-GB"/>
        </w:rPr>
        <w:t>e</w:t>
      </w:r>
    </w:p>
    <w:p w14:paraId="734E2E3B" w14:textId="77777777" w:rsidR="00FB2F32" w:rsidRDefault="001C5534" w:rsidP="001C5534">
      <w:pPr>
        <w:pStyle w:val="ListParagraph"/>
        <w:numPr>
          <w:ilvl w:val="0"/>
          <w:numId w:val="3"/>
        </w:numPr>
        <w:rPr>
          <w:lang w:val="en-GB"/>
        </w:rPr>
      </w:pPr>
      <w:r w:rsidRPr="00FB2F32">
        <w:rPr>
          <w:lang w:val="en-GB"/>
        </w:rPr>
        <w:t xml:space="preserve">Test sample </w:t>
      </w:r>
    </w:p>
    <w:p w14:paraId="25A11086" w14:textId="54FF159E" w:rsidR="001C5534" w:rsidRPr="00FB2F32" w:rsidRDefault="001C5534" w:rsidP="001C5534">
      <w:pPr>
        <w:pStyle w:val="ListParagraph"/>
        <w:numPr>
          <w:ilvl w:val="0"/>
          <w:numId w:val="3"/>
        </w:numPr>
        <w:rPr>
          <w:lang w:val="en-GB"/>
        </w:rPr>
      </w:pPr>
      <w:r w:rsidRPr="00FB2F32">
        <w:rPr>
          <w:lang w:val="en-GB"/>
        </w:rPr>
        <w:t xml:space="preserve">Test portion </w:t>
      </w:r>
    </w:p>
    <w:p w14:paraId="3D26CC32" w14:textId="58ED2637" w:rsidR="001C5534" w:rsidRPr="001C5534" w:rsidRDefault="001C5534" w:rsidP="00FB2F32">
      <w:pPr>
        <w:pStyle w:val="Heading2"/>
      </w:pPr>
      <w:r>
        <w:t xml:space="preserve">11. </w:t>
      </w:r>
      <w:r w:rsidRPr="001C5534">
        <w:t>PROCEDURE</w:t>
      </w:r>
    </w:p>
    <w:p w14:paraId="5367D277" w14:textId="1D314861" w:rsidR="001C5534" w:rsidRDefault="001C5534" w:rsidP="001C5534">
      <w:pPr>
        <w:rPr>
          <w:lang w:val="en-GB"/>
        </w:rPr>
      </w:pPr>
      <w:r w:rsidRPr="001C5534">
        <w:rPr>
          <w:lang w:val="en-GB"/>
        </w:rPr>
        <w:t>Th</w:t>
      </w:r>
      <w:r w:rsidR="00D20575">
        <w:rPr>
          <w:lang w:val="en-GB"/>
        </w:rPr>
        <w:t xml:space="preserve">e contents in this </w:t>
      </w:r>
      <w:r w:rsidR="00860E44">
        <w:rPr>
          <w:lang w:val="en-GB"/>
        </w:rPr>
        <w:t>section</w:t>
      </w:r>
      <w:r w:rsidRPr="001C5534">
        <w:rPr>
          <w:lang w:val="en-GB"/>
        </w:rPr>
        <w:t xml:space="preserve"> </w:t>
      </w:r>
      <w:r w:rsidR="00C915C5">
        <w:rPr>
          <w:lang w:val="en-GB"/>
        </w:rPr>
        <w:t>will differ depending on</w:t>
      </w:r>
      <w:r w:rsidR="00644FB7">
        <w:rPr>
          <w:lang w:val="en-GB"/>
        </w:rPr>
        <w:t xml:space="preserve"> </w:t>
      </w:r>
      <w:r w:rsidR="00C915C5">
        <w:rPr>
          <w:lang w:val="en-GB"/>
        </w:rPr>
        <w:t>whether this is a m</w:t>
      </w:r>
      <w:r w:rsidR="00F72859">
        <w:rPr>
          <w:lang w:val="en-GB"/>
        </w:rPr>
        <w:t>icrobiology</w:t>
      </w:r>
      <w:r w:rsidR="00644FB7">
        <w:rPr>
          <w:lang w:val="en-GB"/>
        </w:rPr>
        <w:t xml:space="preserve"> method, </w:t>
      </w:r>
      <w:r w:rsidR="00C915C5">
        <w:rPr>
          <w:lang w:val="en-GB"/>
        </w:rPr>
        <w:t>a c</w:t>
      </w:r>
      <w:r w:rsidR="00644FB7">
        <w:rPr>
          <w:lang w:val="en-GB"/>
        </w:rPr>
        <w:t xml:space="preserve">hemistry method </w:t>
      </w:r>
      <w:r w:rsidR="00C915C5">
        <w:rPr>
          <w:lang w:val="en-GB"/>
        </w:rPr>
        <w:t>or</w:t>
      </w:r>
      <w:r w:rsidR="00644FB7">
        <w:rPr>
          <w:lang w:val="en-GB"/>
        </w:rPr>
        <w:t xml:space="preserve"> </w:t>
      </w:r>
      <w:r w:rsidR="00C915C5">
        <w:rPr>
          <w:lang w:val="en-GB"/>
        </w:rPr>
        <w:t>a s</w:t>
      </w:r>
      <w:r w:rsidR="00644FB7">
        <w:rPr>
          <w:lang w:val="en-GB"/>
        </w:rPr>
        <w:t xml:space="preserve">ensory method </w:t>
      </w:r>
      <w:r w:rsidR="00C915C5">
        <w:rPr>
          <w:lang w:val="en-GB"/>
        </w:rPr>
        <w:t>and is outlined accordingly. The section</w:t>
      </w:r>
      <w:r w:rsidR="00644FB7">
        <w:rPr>
          <w:lang w:val="en-GB"/>
        </w:rPr>
        <w:t xml:space="preserve"> </w:t>
      </w:r>
      <w:r w:rsidRPr="001C5534">
        <w:rPr>
          <w:lang w:val="en-GB"/>
        </w:rPr>
        <w:t>may be divided into sub</w:t>
      </w:r>
      <w:r w:rsidR="00860E44">
        <w:rPr>
          <w:lang w:val="en-GB"/>
        </w:rPr>
        <w:t>section</w:t>
      </w:r>
      <w:r w:rsidRPr="001C5534">
        <w:rPr>
          <w:lang w:val="en-GB"/>
        </w:rPr>
        <w:t>s</w:t>
      </w:r>
      <w:r w:rsidR="00D15BAB">
        <w:rPr>
          <w:lang w:val="en-GB"/>
        </w:rPr>
        <w:t xml:space="preserve"> as required</w:t>
      </w:r>
      <w:r w:rsidR="00D20575">
        <w:rPr>
          <w:lang w:val="en-GB"/>
        </w:rPr>
        <w:t>, exemplified below</w:t>
      </w:r>
      <w:r w:rsidRPr="001C5534">
        <w:rPr>
          <w:lang w:val="en-GB"/>
        </w:rPr>
        <w:t>.</w:t>
      </w:r>
    </w:p>
    <w:p w14:paraId="0DDD9E8C" w14:textId="77777777" w:rsidR="00EF5AAA" w:rsidRDefault="00EF5AAA" w:rsidP="001C5534">
      <w:pPr>
        <w:rPr>
          <w:lang w:val="en-GB"/>
        </w:rPr>
      </w:pPr>
    </w:p>
    <w:p w14:paraId="5D7AA790" w14:textId="7A81822D" w:rsidR="00EF5AAA" w:rsidRPr="00D15BAB" w:rsidRDefault="000A5947" w:rsidP="00EF5AAA">
      <w:pPr>
        <w:pBdr>
          <w:bottom w:val="single" w:sz="4" w:space="1" w:color="auto"/>
        </w:pBdr>
        <w:rPr>
          <w:b/>
          <w:bCs/>
          <w:lang w:val="en-GB"/>
        </w:rPr>
      </w:pPr>
      <w:r>
        <w:rPr>
          <w:b/>
          <w:bCs/>
          <w:lang w:val="en-GB"/>
        </w:rPr>
        <w:t xml:space="preserve">FOR </w:t>
      </w:r>
      <w:r w:rsidR="00EF5AAA" w:rsidRPr="00D15BAB">
        <w:rPr>
          <w:b/>
          <w:bCs/>
          <w:lang w:val="en-GB"/>
        </w:rPr>
        <w:t>CHEMISTRY METHOD</w:t>
      </w:r>
      <w:r>
        <w:rPr>
          <w:b/>
          <w:bCs/>
          <w:lang w:val="en-GB"/>
        </w:rPr>
        <w:t>S</w:t>
      </w:r>
      <w:r w:rsidR="00EF5AAA">
        <w:rPr>
          <w:b/>
          <w:bCs/>
          <w:lang w:val="en-GB"/>
        </w:rPr>
        <w:t>:</w:t>
      </w:r>
    </w:p>
    <w:p w14:paraId="457B2A76" w14:textId="77777777" w:rsidR="00EF5AAA" w:rsidRDefault="00EF5AAA" w:rsidP="00EF5AAA">
      <w:r>
        <w:t>The procedure for the method developed according to NMKL protocols 1, 5 and 6 should be described (</w:t>
      </w:r>
      <w:hyperlink r:id="rId14" w:history="1">
        <w:r w:rsidRPr="00A94A6C">
          <w:rPr>
            <w:rStyle w:val="Hyperlink"/>
          </w:rPr>
          <w:t>https://www.nmkl.org/resources/method-development/</w:t>
        </w:r>
      </w:hyperlink>
      <w:r>
        <w:t>):</w:t>
      </w:r>
    </w:p>
    <w:p w14:paraId="2118C0F8" w14:textId="77777777" w:rsidR="00EF5AAA" w:rsidRDefault="00EF5AAA" w:rsidP="00EF5AAA">
      <w:pPr>
        <w:pStyle w:val="ListParagraph"/>
        <w:numPr>
          <w:ilvl w:val="0"/>
          <w:numId w:val="12"/>
        </w:numPr>
      </w:pPr>
      <w:r>
        <w:t xml:space="preserve">NMKL Protocol No. 1: </w:t>
      </w:r>
      <w:proofErr w:type="spellStart"/>
      <w:r>
        <w:t>Referentvejledning</w:t>
      </w:r>
      <w:proofErr w:type="spellEnd"/>
      <w:r>
        <w:t xml:space="preserve"> for det </w:t>
      </w:r>
      <w:proofErr w:type="spellStart"/>
      <w:r>
        <w:t>kemiske</w:t>
      </w:r>
      <w:proofErr w:type="spellEnd"/>
      <w:r>
        <w:t xml:space="preserve"> </w:t>
      </w:r>
      <w:proofErr w:type="spellStart"/>
      <w:r>
        <w:t>område</w:t>
      </w:r>
      <w:proofErr w:type="spellEnd"/>
      <w:r>
        <w:t xml:space="preserve"> – </w:t>
      </w:r>
      <w:proofErr w:type="spellStart"/>
      <w:r>
        <w:t>Udarbejdelse</w:t>
      </w:r>
      <w:proofErr w:type="spellEnd"/>
      <w:r>
        <w:t xml:space="preserve"> </w:t>
      </w:r>
      <w:proofErr w:type="spellStart"/>
      <w:r>
        <w:t>af</w:t>
      </w:r>
      <w:proofErr w:type="spellEnd"/>
      <w:r>
        <w:t xml:space="preserve"> </w:t>
      </w:r>
      <w:proofErr w:type="spellStart"/>
      <w:r>
        <w:t>analysemetoder</w:t>
      </w:r>
      <w:proofErr w:type="spellEnd"/>
      <w:r>
        <w:t xml:space="preserve"> </w:t>
      </w:r>
      <w:proofErr w:type="spellStart"/>
      <w:r>
        <w:t>indenfor</w:t>
      </w:r>
      <w:proofErr w:type="spellEnd"/>
      <w:r>
        <w:t xml:space="preserve"> NMKL (Danish only)</w:t>
      </w:r>
    </w:p>
    <w:p w14:paraId="4DAFA43D" w14:textId="77777777" w:rsidR="00EF5AAA" w:rsidRDefault="00EF5AAA" w:rsidP="00EF5AAA">
      <w:pPr>
        <w:pStyle w:val="ListParagraph"/>
        <w:numPr>
          <w:ilvl w:val="0"/>
          <w:numId w:val="12"/>
        </w:numPr>
      </w:pPr>
      <w:r>
        <w:t>NMKL Protocol No. 5: Analytical Quality Control – Guidelines for the publication of analytical results of chemical analyses in foodstuffs. This protocol gives a guideline for publications on what that should to be included and reviewed when elaborating, review or issuing articles where chemical results are included.</w:t>
      </w:r>
    </w:p>
    <w:p w14:paraId="663C9033" w14:textId="77777777" w:rsidR="00EF5AAA" w:rsidRDefault="00EF5AAA" w:rsidP="00EF5AAA">
      <w:pPr>
        <w:pStyle w:val="ListParagraph"/>
        <w:numPr>
          <w:ilvl w:val="0"/>
          <w:numId w:val="12"/>
        </w:numPr>
      </w:pPr>
      <w:r>
        <w:t xml:space="preserve">NMKL Protocol No. 6: Requirements for validation of chemical NMKL methods that are not to be validated </w:t>
      </w:r>
      <w:proofErr w:type="gramStart"/>
      <w:r>
        <w:t>collaboratively</w:t>
      </w:r>
      <w:proofErr w:type="gramEnd"/>
    </w:p>
    <w:p w14:paraId="3C74DEC7" w14:textId="50D71D01" w:rsidR="00EF5AAA" w:rsidRPr="001C5534" w:rsidRDefault="00EF5AAA" w:rsidP="00EF5AAA">
      <w:pPr>
        <w:pStyle w:val="Heading3"/>
      </w:pPr>
      <w:r w:rsidRPr="001C5534">
        <w:t>11.1</w:t>
      </w:r>
      <w:r>
        <w:tab/>
      </w:r>
      <w:r w:rsidRPr="001C5534">
        <w:t>Pre-</w:t>
      </w:r>
      <w:r w:rsidR="00000A72">
        <w:t>treatment</w:t>
      </w:r>
    </w:p>
    <w:p w14:paraId="6A93417F" w14:textId="77777777" w:rsidR="00EF5AAA" w:rsidRDefault="00EF5AAA" w:rsidP="00EF5AAA">
      <w:pPr>
        <w:rPr>
          <w:lang w:val="en-GB"/>
        </w:rPr>
      </w:pPr>
      <w:r w:rsidRPr="001C5534">
        <w:rPr>
          <w:lang w:val="en-GB"/>
        </w:rPr>
        <w:t>This sub</w:t>
      </w:r>
      <w:r>
        <w:rPr>
          <w:lang w:val="en-GB"/>
        </w:rPr>
        <w:t>section</w:t>
      </w:r>
      <w:r w:rsidRPr="001C5534">
        <w:rPr>
          <w:lang w:val="en-GB"/>
        </w:rPr>
        <w:t xml:space="preserve"> shall give all the information necessary for the preparation of the test portion from the test sample or from the laboratory sample. It shall state the mass or volume of the test portion, the accuracy with which this must be measured and, if necessary, any other relevant characteristics. </w:t>
      </w:r>
    </w:p>
    <w:p w14:paraId="2E4490BC" w14:textId="147DAFC0" w:rsidR="00EF5AAA" w:rsidRDefault="00EF5AAA" w:rsidP="00EF5AAA">
      <w:pPr>
        <w:pStyle w:val="Heading3"/>
      </w:pPr>
      <w:r w:rsidRPr="001C5534">
        <w:t>11.2</w:t>
      </w:r>
      <w:r>
        <w:tab/>
      </w:r>
      <w:r w:rsidR="002719C1">
        <w:t xml:space="preserve">“Name of the procedure to be </w:t>
      </w:r>
      <w:proofErr w:type="gramStart"/>
      <w:r w:rsidR="002719C1">
        <w:t>performed”</w:t>
      </w:r>
      <w:proofErr w:type="gramEnd"/>
    </w:p>
    <w:p w14:paraId="41E48E43" w14:textId="5289540A" w:rsidR="00F90C57" w:rsidRPr="00F90C57" w:rsidRDefault="00F90C57" w:rsidP="00F90C57">
      <w:pPr>
        <w:rPr>
          <w:b/>
          <w:bCs/>
          <w:lang w:val="en-GB"/>
        </w:rPr>
      </w:pPr>
      <w:r w:rsidRPr="00F90C57">
        <w:rPr>
          <w:b/>
          <w:bCs/>
          <w:lang w:val="en-GB"/>
        </w:rPr>
        <w:t>11.2.1</w:t>
      </w:r>
      <w:r>
        <w:rPr>
          <w:b/>
          <w:bCs/>
          <w:lang w:val="en-GB"/>
        </w:rPr>
        <w:tab/>
        <w:t xml:space="preserve">Name of specific </w:t>
      </w:r>
      <w:r w:rsidR="009107A9">
        <w:rPr>
          <w:b/>
          <w:bCs/>
          <w:lang w:val="en-GB"/>
        </w:rPr>
        <w:t xml:space="preserve">sub-procedure or </w:t>
      </w:r>
      <w:r>
        <w:rPr>
          <w:b/>
          <w:bCs/>
          <w:lang w:val="en-GB"/>
        </w:rPr>
        <w:t>techniqu</w:t>
      </w:r>
      <w:r w:rsidR="009107A9">
        <w:rPr>
          <w:b/>
          <w:bCs/>
          <w:lang w:val="en-GB"/>
        </w:rPr>
        <w:t>e</w:t>
      </w:r>
    </w:p>
    <w:p w14:paraId="1285242D" w14:textId="5350091C" w:rsidR="002719C1" w:rsidRPr="002719C1" w:rsidRDefault="009107A9" w:rsidP="009107A9">
      <w:pPr>
        <w:pStyle w:val="Heading3"/>
      </w:pPr>
      <w:r>
        <w:t>11.3</w:t>
      </w:r>
      <w:r>
        <w:tab/>
        <w:t>…</w:t>
      </w:r>
    </w:p>
    <w:p w14:paraId="17714FD8" w14:textId="77777777" w:rsidR="00EF5AAA" w:rsidRPr="00F72859" w:rsidRDefault="00EF5AAA" w:rsidP="00EF5AAA">
      <w:pPr>
        <w:rPr>
          <w:lang w:val="en-GB"/>
        </w:rPr>
      </w:pPr>
    </w:p>
    <w:p w14:paraId="7110D93F" w14:textId="6CF4FABE" w:rsidR="00EF5AAA" w:rsidRPr="00D15BAB" w:rsidRDefault="000A5947" w:rsidP="00EF5AAA">
      <w:pPr>
        <w:pBdr>
          <w:bottom w:val="single" w:sz="4" w:space="1" w:color="auto"/>
        </w:pBdr>
        <w:rPr>
          <w:b/>
          <w:bCs/>
          <w:lang w:val="en-GB"/>
        </w:rPr>
      </w:pPr>
      <w:r>
        <w:rPr>
          <w:b/>
          <w:bCs/>
          <w:lang w:val="en-GB"/>
        </w:rPr>
        <w:t xml:space="preserve">FOR </w:t>
      </w:r>
      <w:r w:rsidR="00EF5AAA" w:rsidRPr="00D15BAB">
        <w:rPr>
          <w:b/>
          <w:bCs/>
          <w:lang w:val="en-GB"/>
        </w:rPr>
        <w:t>SENSORY METHOD</w:t>
      </w:r>
      <w:r>
        <w:rPr>
          <w:b/>
          <w:bCs/>
          <w:lang w:val="en-GB"/>
        </w:rPr>
        <w:t>S</w:t>
      </w:r>
      <w:r w:rsidR="00EF5AAA">
        <w:rPr>
          <w:b/>
          <w:bCs/>
          <w:lang w:val="en-GB"/>
        </w:rPr>
        <w:t>:</w:t>
      </w:r>
    </w:p>
    <w:p w14:paraId="2E6B468A" w14:textId="2099D066" w:rsidR="00EF5AAA" w:rsidRPr="001C5534" w:rsidRDefault="00EF5AAA" w:rsidP="00EF5AAA">
      <w:pPr>
        <w:pStyle w:val="Heading3"/>
      </w:pPr>
      <w:r w:rsidRPr="001C5534">
        <w:t>11.1</w:t>
      </w:r>
      <w:r>
        <w:tab/>
      </w:r>
      <w:r w:rsidRPr="001C5534">
        <w:t>Pre-</w:t>
      </w:r>
      <w:r w:rsidR="00000A72">
        <w:t>treatment</w:t>
      </w:r>
    </w:p>
    <w:p w14:paraId="647DF153" w14:textId="77777777" w:rsidR="00EF5AAA" w:rsidRPr="001C5534" w:rsidRDefault="00EF5AAA" w:rsidP="00EF5AAA">
      <w:pPr>
        <w:rPr>
          <w:lang w:val="en-GB"/>
        </w:rPr>
      </w:pPr>
      <w:r w:rsidRPr="001C5534">
        <w:rPr>
          <w:lang w:val="en-GB"/>
        </w:rPr>
        <w:t>This sub</w:t>
      </w:r>
      <w:r>
        <w:rPr>
          <w:lang w:val="en-GB"/>
        </w:rPr>
        <w:t>section</w:t>
      </w:r>
      <w:r w:rsidRPr="001C5534">
        <w:rPr>
          <w:lang w:val="en-GB"/>
        </w:rPr>
        <w:t xml:space="preserve"> shall give all the information necessary for the preparation of the test portion from the test sample or from the laboratory sample. It shall state the mass or volume of the test portion, the accuracy with which this must be measured and, if necessary, any other relevant characteristics. </w:t>
      </w:r>
    </w:p>
    <w:p w14:paraId="4E9FEB26" w14:textId="1C9EF5DD" w:rsidR="00EF5AAA" w:rsidRPr="001C5534" w:rsidRDefault="00EF5AAA" w:rsidP="00EF5AAA">
      <w:pPr>
        <w:pStyle w:val="Heading3"/>
      </w:pPr>
      <w:r w:rsidRPr="001C5534">
        <w:t>11.2</w:t>
      </w:r>
      <w:r>
        <w:tab/>
      </w:r>
      <w:r w:rsidR="002719C1">
        <w:t>“</w:t>
      </w:r>
      <w:r w:rsidR="00A45161">
        <w:t xml:space="preserve">Name of </w:t>
      </w:r>
      <w:r w:rsidR="002719C1">
        <w:t xml:space="preserve">the procedure to be </w:t>
      </w:r>
      <w:proofErr w:type="gramStart"/>
      <w:r w:rsidR="002719C1">
        <w:t>performed”</w:t>
      </w:r>
      <w:proofErr w:type="gramEnd"/>
    </w:p>
    <w:p w14:paraId="72F386A3" w14:textId="77777777" w:rsidR="009107A9" w:rsidRPr="00F90C57" w:rsidRDefault="009107A9" w:rsidP="009107A9">
      <w:pPr>
        <w:rPr>
          <w:b/>
          <w:bCs/>
          <w:lang w:val="en-GB"/>
        </w:rPr>
      </w:pPr>
      <w:r w:rsidRPr="00F90C57">
        <w:rPr>
          <w:b/>
          <w:bCs/>
          <w:lang w:val="en-GB"/>
        </w:rPr>
        <w:lastRenderedPageBreak/>
        <w:t>11.2.1</w:t>
      </w:r>
      <w:r>
        <w:rPr>
          <w:b/>
          <w:bCs/>
          <w:lang w:val="en-GB"/>
        </w:rPr>
        <w:tab/>
        <w:t>Name of specific sub-procedure or technique</w:t>
      </w:r>
    </w:p>
    <w:p w14:paraId="5BFB9471" w14:textId="76C83774" w:rsidR="00EF5AAA" w:rsidRDefault="009107A9" w:rsidP="009107A9">
      <w:pPr>
        <w:pStyle w:val="Heading3"/>
      </w:pPr>
      <w:r>
        <w:t>11.3</w:t>
      </w:r>
      <w:r>
        <w:tab/>
        <w:t>…</w:t>
      </w:r>
    </w:p>
    <w:p w14:paraId="1784E0C6" w14:textId="77777777" w:rsidR="00E80254" w:rsidRDefault="00E80254" w:rsidP="001C5534">
      <w:pPr>
        <w:rPr>
          <w:lang w:val="en-GB"/>
        </w:rPr>
      </w:pPr>
    </w:p>
    <w:p w14:paraId="0D553E4D" w14:textId="409C969B" w:rsidR="006C3C54" w:rsidRPr="006C3C54" w:rsidRDefault="000A5947" w:rsidP="3DD57DA3">
      <w:pPr>
        <w:pBdr>
          <w:bottom w:val="single" w:sz="4" w:space="1" w:color="auto"/>
        </w:pBdr>
        <w:rPr>
          <w:b/>
          <w:bCs/>
          <w:lang w:val="en-GB"/>
        </w:rPr>
      </w:pPr>
      <w:r>
        <w:rPr>
          <w:b/>
          <w:bCs/>
          <w:lang w:val="en-GB"/>
        </w:rPr>
        <w:t xml:space="preserve">FOR </w:t>
      </w:r>
      <w:r w:rsidR="00F72859" w:rsidRPr="3DD57DA3">
        <w:rPr>
          <w:b/>
          <w:bCs/>
          <w:lang w:val="en-GB"/>
        </w:rPr>
        <w:t>MICROBIOLOGY METHOD</w:t>
      </w:r>
      <w:r>
        <w:rPr>
          <w:b/>
          <w:bCs/>
          <w:lang w:val="en-GB"/>
        </w:rPr>
        <w:t>S</w:t>
      </w:r>
    </w:p>
    <w:p w14:paraId="47611BD5" w14:textId="7CF503A1" w:rsidR="00F72859" w:rsidRDefault="006C3C54" w:rsidP="006C3C54">
      <w:r>
        <w:t>The</w:t>
      </w:r>
      <w:r w:rsidR="00DD5D8D">
        <w:t xml:space="preserve"> procedure for the method</w:t>
      </w:r>
      <w:r>
        <w:t xml:space="preserve"> developed </w:t>
      </w:r>
      <w:r w:rsidR="00DD5D8D">
        <w:t xml:space="preserve">according to </w:t>
      </w:r>
      <w:r>
        <w:t>NMKL protocols</w:t>
      </w:r>
      <w:r w:rsidR="00DD5D8D">
        <w:t xml:space="preserve"> 3 and 7 should be described (</w:t>
      </w:r>
      <w:hyperlink r:id="rId15" w:history="1">
        <w:r w:rsidR="00DD5D8D" w:rsidRPr="00A94A6C">
          <w:rPr>
            <w:rStyle w:val="Hyperlink"/>
          </w:rPr>
          <w:t>https://www.nmkl.org/resources/method-development/</w:t>
        </w:r>
      </w:hyperlink>
      <w:r w:rsidR="00DD5D8D">
        <w:t>):</w:t>
      </w:r>
    </w:p>
    <w:p w14:paraId="0CB1E238" w14:textId="77777777" w:rsidR="00E17AC0" w:rsidRPr="00E17AC0" w:rsidRDefault="00E17AC0" w:rsidP="00E17AC0">
      <w:pPr>
        <w:pStyle w:val="ListParagraph"/>
        <w:numPr>
          <w:ilvl w:val="0"/>
          <w:numId w:val="11"/>
        </w:numPr>
        <w:rPr>
          <w:lang w:val="en-GB"/>
        </w:rPr>
      </w:pPr>
      <w:r w:rsidRPr="00E17AC0">
        <w:rPr>
          <w:lang w:val="en-GB"/>
        </w:rPr>
        <w:t>NMKL Protocol No. 3: Guide for referees within microbiology. Elaboration of analytical methods in NMKL</w:t>
      </w:r>
    </w:p>
    <w:p w14:paraId="4F905A73" w14:textId="7FB814F2" w:rsidR="00E17AC0" w:rsidRDefault="00E17AC0" w:rsidP="00E17AC0">
      <w:pPr>
        <w:pStyle w:val="ListParagraph"/>
        <w:numPr>
          <w:ilvl w:val="0"/>
          <w:numId w:val="11"/>
        </w:numPr>
        <w:rPr>
          <w:lang w:val="en-GB"/>
        </w:rPr>
      </w:pPr>
      <w:r w:rsidRPr="00E17AC0">
        <w:rPr>
          <w:lang w:val="en-GB"/>
        </w:rPr>
        <w:t>NMKL Protocol No. 7: Requirement to internal (inhouse/single laboratory) validation of presumptive NMKL microbiological methods</w:t>
      </w:r>
    </w:p>
    <w:p w14:paraId="4BE5364E" w14:textId="77777777" w:rsidR="005B503C" w:rsidRDefault="005B503C" w:rsidP="005B503C">
      <w:pPr>
        <w:rPr>
          <w:lang w:val="en-GB"/>
        </w:rPr>
      </w:pPr>
    </w:p>
    <w:p w14:paraId="694FFE1B" w14:textId="77777777" w:rsidR="005B503C" w:rsidRPr="005B503C" w:rsidRDefault="005B503C" w:rsidP="005B503C">
      <w:pPr>
        <w:rPr>
          <w:b/>
          <w:bCs/>
          <w:lang w:val="en-GB"/>
        </w:rPr>
      </w:pPr>
      <w:r w:rsidRPr="005B503C">
        <w:rPr>
          <w:b/>
          <w:bCs/>
          <w:lang w:val="en-GB"/>
        </w:rPr>
        <w:t>For quantitative methods:</w:t>
      </w:r>
    </w:p>
    <w:p w14:paraId="3CD44E6A" w14:textId="46ABCE40" w:rsidR="005B503C" w:rsidRDefault="005B503C" w:rsidP="00423EEF">
      <w:pPr>
        <w:pStyle w:val="Heading3"/>
      </w:pPr>
      <w:r w:rsidRPr="005B503C">
        <w:t xml:space="preserve">11.1 </w:t>
      </w:r>
      <w:r w:rsidR="000A5947">
        <w:tab/>
      </w:r>
      <w:r w:rsidRPr="005B503C">
        <w:t>Pre</w:t>
      </w:r>
      <w:r w:rsidR="00423EEF">
        <w:t>-</w:t>
      </w:r>
      <w:r w:rsidRPr="005B503C">
        <w:t>treatment and dilution</w:t>
      </w:r>
    </w:p>
    <w:p w14:paraId="46CF5B4A" w14:textId="77777777" w:rsidR="00D03E7B" w:rsidRPr="001C5534" w:rsidRDefault="00D03E7B" w:rsidP="00D03E7B">
      <w:pPr>
        <w:rPr>
          <w:lang w:val="en-GB"/>
        </w:rPr>
      </w:pPr>
      <w:r w:rsidRPr="001C5534">
        <w:rPr>
          <w:lang w:val="en-GB"/>
        </w:rPr>
        <w:t>This sub</w:t>
      </w:r>
      <w:r>
        <w:rPr>
          <w:lang w:val="en-GB"/>
        </w:rPr>
        <w:t>section</w:t>
      </w:r>
      <w:r w:rsidRPr="001C5534">
        <w:rPr>
          <w:lang w:val="en-GB"/>
        </w:rPr>
        <w:t xml:space="preserve"> shall give all the information necessary for the preparation of the test portion from the test sample or from the laboratory sample. It shall state the mass or volume of the test portion, the accuracy with which this must be measured and, if necessary, any other relevant characteristics. </w:t>
      </w:r>
    </w:p>
    <w:p w14:paraId="652E9322" w14:textId="5EF43673" w:rsidR="00D03E7B" w:rsidRPr="005B503C" w:rsidRDefault="00D03E7B" w:rsidP="005B503C">
      <w:pPr>
        <w:rPr>
          <w:lang w:val="en-GB"/>
        </w:rPr>
      </w:pPr>
      <w:r w:rsidRPr="001C5534">
        <w:rPr>
          <w:lang w:val="en-GB"/>
        </w:rPr>
        <w:t>Microbiological methods should refer to NMKL Method No. 91.</w:t>
      </w:r>
    </w:p>
    <w:p w14:paraId="0F6976C3" w14:textId="4814431E" w:rsidR="007F27F7" w:rsidRPr="007F27F7" w:rsidRDefault="005B503C" w:rsidP="007F27F7">
      <w:pPr>
        <w:pStyle w:val="Heading3"/>
      </w:pPr>
      <w:r w:rsidRPr="005B503C">
        <w:t xml:space="preserve">11.2 </w:t>
      </w:r>
      <w:r w:rsidR="000A5947">
        <w:tab/>
      </w:r>
      <w:r w:rsidRPr="005B503C">
        <w:t>Plating</w:t>
      </w:r>
    </w:p>
    <w:p w14:paraId="6B1E4D7A" w14:textId="4C5FB5E2" w:rsidR="005B503C" w:rsidRDefault="005B503C" w:rsidP="007F27F7">
      <w:pPr>
        <w:pStyle w:val="Heading3"/>
      </w:pPr>
      <w:r w:rsidRPr="005B503C">
        <w:t xml:space="preserve">11.3 </w:t>
      </w:r>
      <w:r w:rsidR="000A5947">
        <w:tab/>
      </w:r>
      <w:r w:rsidRPr="005B503C">
        <w:t>Incubation</w:t>
      </w:r>
    </w:p>
    <w:p w14:paraId="69D67C42" w14:textId="77777777" w:rsidR="000A5947" w:rsidRPr="001C5534" w:rsidRDefault="000A5947" w:rsidP="000A5947">
      <w:pPr>
        <w:rPr>
          <w:lang w:val="en-GB"/>
        </w:rPr>
      </w:pPr>
      <w:r w:rsidRPr="001C5534">
        <w:rPr>
          <w:lang w:val="en-GB"/>
        </w:rPr>
        <w:t xml:space="preserve">Temperature tolerances: ± 1.0 </w:t>
      </w:r>
      <w:r>
        <w:rPr>
          <w:rFonts w:cstheme="minorHAnsi"/>
          <w:lang w:val="en-GB"/>
        </w:rPr>
        <w:t>°</w:t>
      </w:r>
      <w:r w:rsidRPr="001C5534">
        <w:rPr>
          <w:lang w:val="en-GB"/>
        </w:rPr>
        <w:t xml:space="preserve">C for air incubators and ± 0.2 </w:t>
      </w:r>
      <w:r>
        <w:rPr>
          <w:rFonts w:cstheme="minorHAnsi"/>
          <w:lang w:val="en-GB"/>
        </w:rPr>
        <w:t>°</w:t>
      </w:r>
      <w:r w:rsidRPr="001C5534">
        <w:rPr>
          <w:lang w:val="en-GB"/>
        </w:rPr>
        <w:t xml:space="preserve">C for water incubators, unless there are scientific reasons for stricter requirements. Temperature settings are given as: 37.0 ± 1.0 </w:t>
      </w:r>
      <w:r>
        <w:rPr>
          <w:rFonts w:cstheme="minorHAnsi"/>
          <w:lang w:val="en-GB"/>
        </w:rPr>
        <w:t>°</w:t>
      </w:r>
      <w:r w:rsidRPr="001C5534">
        <w:rPr>
          <w:lang w:val="en-GB"/>
        </w:rPr>
        <w:t>C.</w:t>
      </w:r>
    </w:p>
    <w:p w14:paraId="6469EB02" w14:textId="77777777" w:rsidR="000A5947" w:rsidRPr="001C5534" w:rsidRDefault="000A5947" w:rsidP="000A5947">
      <w:pPr>
        <w:rPr>
          <w:lang w:val="en-GB"/>
        </w:rPr>
      </w:pPr>
      <w:r w:rsidRPr="001C5534">
        <w:rPr>
          <w:lang w:val="en-GB"/>
        </w:rPr>
        <w:t xml:space="preserve">Generally, the following temperatures are applied: 20, 25, 30, 37, 42 and 44 </w:t>
      </w:r>
      <w:r>
        <w:rPr>
          <w:rFonts w:cstheme="minorHAnsi"/>
          <w:lang w:val="en-GB"/>
        </w:rPr>
        <w:t>°</w:t>
      </w:r>
      <w:r w:rsidRPr="001C5534">
        <w:rPr>
          <w:lang w:val="en-GB"/>
        </w:rPr>
        <w:t>C. Other incubation temperatures are used only if scientifically reasoned.</w:t>
      </w:r>
    </w:p>
    <w:p w14:paraId="4E698F4E" w14:textId="77777777" w:rsidR="000A5947" w:rsidRPr="001C5534" w:rsidRDefault="000A5947" w:rsidP="000A5947">
      <w:pPr>
        <w:rPr>
          <w:lang w:val="en-GB"/>
        </w:rPr>
      </w:pPr>
      <w:r w:rsidRPr="001C5534">
        <w:rPr>
          <w:lang w:val="en-GB"/>
        </w:rPr>
        <w:t>Common incubation time</w:t>
      </w:r>
      <w:r>
        <w:rPr>
          <w:lang w:val="en-GB"/>
        </w:rPr>
        <w:t>s</w:t>
      </w:r>
      <w:r w:rsidRPr="001C5534">
        <w:rPr>
          <w:lang w:val="en-GB"/>
        </w:rPr>
        <w:t>:</w:t>
      </w:r>
    </w:p>
    <w:p w14:paraId="42AB8C89" w14:textId="77777777" w:rsidR="000A5947" w:rsidRDefault="000A5947" w:rsidP="000A5947">
      <w:pPr>
        <w:pStyle w:val="ListParagraph"/>
        <w:numPr>
          <w:ilvl w:val="0"/>
          <w:numId w:val="5"/>
        </w:numPr>
        <w:rPr>
          <w:lang w:val="en-GB"/>
        </w:rPr>
      </w:pPr>
      <w:r w:rsidRPr="001D58FB">
        <w:rPr>
          <w:lang w:val="en-GB"/>
        </w:rPr>
        <w:t>24 hours ± 3 hours</w:t>
      </w:r>
    </w:p>
    <w:p w14:paraId="4A3B3E82" w14:textId="77777777" w:rsidR="000A5947" w:rsidRDefault="000A5947" w:rsidP="000A5947">
      <w:pPr>
        <w:pStyle w:val="ListParagraph"/>
        <w:numPr>
          <w:ilvl w:val="0"/>
          <w:numId w:val="5"/>
        </w:numPr>
        <w:rPr>
          <w:lang w:val="en-GB"/>
        </w:rPr>
      </w:pPr>
      <w:r w:rsidRPr="001D58FB">
        <w:rPr>
          <w:lang w:val="en-GB"/>
        </w:rPr>
        <w:t>48 hours ± 4 hours</w:t>
      </w:r>
    </w:p>
    <w:p w14:paraId="3BA952B3" w14:textId="3FD2B316" w:rsidR="000A5947" w:rsidRPr="000A5947" w:rsidRDefault="000A5947" w:rsidP="000A5947">
      <w:pPr>
        <w:pStyle w:val="ListParagraph"/>
        <w:numPr>
          <w:ilvl w:val="0"/>
          <w:numId w:val="5"/>
        </w:numPr>
        <w:rPr>
          <w:lang w:val="en-GB"/>
        </w:rPr>
      </w:pPr>
      <w:r w:rsidRPr="001D58FB">
        <w:rPr>
          <w:lang w:val="en-GB"/>
        </w:rPr>
        <w:t>72 hours ± 6 hours</w:t>
      </w:r>
    </w:p>
    <w:p w14:paraId="6640D39D" w14:textId="77777777" w:rsidR="007F27F7" w:rsidRDefault="007F27F7" w:rsidP="007F27F7">
      <w:pPr>
        <w:pStyle w:val="Heading3"/>
      </w:pPr>
      <w:r w:rsidRPr="005B503C">
        <w:t>11.3</w:t>
      </w:r>
      <w:r>
        <w:tab/>
      </w:r>
      <w:r w:rsidRPr="005B503C">
        <w:t>Reading of plates</w:t>
      </w:r>
    </w:p>
    <w:p w14:paraId="60031732" w14:textId="77777777" w:rsidR="007F27F7" w:rsidRPr="001C5534" w:rsidRDefault="007F27F7" w:rsidP="007F27F7">
      <w:pPr>
        <w:rPr>
          <w:lang w:val="en-GB"/>
        </w:rPr>
      </w:pPr>
      <w:r w:rsidRPr="001C5534">
        <w:rPr>
          <w:lang w:val="en-GB"/>
        </w:rPr>
        <w:t>Perform the reading, calculations and the stating of the results in accordance with the NMKL Procedure No. 23.</w:t>
      </w:r>
    </w:p>
    <w:p w14:paraId="719DC38F" w14:textId="77777777" w:rsidR="007F27F7" w:rsidRPr="001C5534" w:rsidRDefault="007F27F7" w:rsidP="007F27F7">
      <w:pPr>
        <w:rPr>
          <w:lang w:val="en-GB"/>
        </w:rPr>
      </w:pPr>
      <w:r w:rsidRPr="001C5534">
        <w:rPr>
          <w:lang w:val="en-GB"/>
        </w:rPr>
        <w:t xml:space="preserve">When applicable, state a possible colony interval for reading. </w:t>
      </w:r>
    </w:p>
    <w:p w14:paraId="4C644274" w14:textId="77777777" w:rsidR="007F27F7" w:rsidRPr="00EF5AAA" w:rsidRDefault="007F27F7" w:rsidP="007F27F7">
      <w:pPr>
        <w:rPr>
          <w:lang w:val="en-GB"/>
        </w:rPr>
      </w:pPr>
      <w:r w:rsidRPr="001C5534">
        <w:rPr>
          <w:lang w:val="en-GB"/>
        </w:rPr>
        <w:t xml:space="preserve">For qualitative methods the results are given as detected / not detected in the amount of the sample analysed. </w:t>
      </w:r>
    </w:p>
    <w:p w14:paraId="3D563F92" w14:textId="77777777" w:rsidR="007F27F7" w:rsidRPr="001C5534" w:rsidRDefault="007F27F7" w:rsidP="007F27F7">
      <w:pPr>
        <w:pStyle w:val="Heading3"/>
      </w:pPr>
      <w:r w:rsidRPr="001C5534">
        <w:t>11.4</w:t>
      </w:r>
      <w:r>
        <w:tab/>
      </w:r>
      <w:r w:rsidRPr="001C5534">
        <w:t>Confirmation</w:t>
      </w:r>
    </w:p>
    <w:p w14:paraId="30D19F4E" w14:textId="77777777" w:rsidR="007F27F7" w:rsidRPr="005B503C" w:rsidRDefault="007F27F7" w:rsidP="007F27F7">
      <w:pPr>
        <w:rPr>
          <w:lang w:val="en-GB"/>
        </w:rPr>
      </w:pPr>
      <w:r w:rsidRPr="001C5534">
        <w:rPr>
          <w:lang w:val="en-GB"/>
        </w:rPr>
        <w:lastRenderedPageBreak/>
        <w:t>Use the following statement, unless otherwise scientifically reasoned: "Test a selection of suspect/ presumptive colonies - usually five of each type - if confirmation is necessary or desirable."</w:t>
      </w:r>
    </w:p>
    <w:p w14:paraId="08038A47" w14:textId="77777777" w:rsidR="005B503C" w:rsidRPr="005B503C" w:rsidRDefault="005B503C" w:rsidP="005B503C">
      <w:pPr>
        <w:rPr>
          <w:lang w:val="en-GB"/>
        </w:rPr>
      </w:pPr>
    </w:p>
    <w:p w14:paraId="0ADC7321" w14:textId="77777777" w:rsidR="005B503C" w:rsidRPr="005B503C" w:rsidRDefault="005B503C" w:rsidP="005B503C">
      <w:pPr>
        <w:rPr>
          <w:b/>
          <w:bCs/>
          <w:lang w:val="en-GB"/>
        </w:rPr>
      </w:pPr>
      <w:r w:rsidRPr="005B503C">
        <w:rPr>
          <w:b/>
          <w:bCs/>
          <w:lang w:val="en-GB"/>
        </w:rPr>
        <w:t>For qualitative methods:</w:t>
      </w:r>
    </w:p>
    <w:p w14:paraId="5615D740" w14:textId="45F5D7E0" w:rsidR="005B503C" w:rsidRPr="001C5534" w:rsidRDefault="005B503C" w:rsidP="005B503C">
      <w:pPr>
        <w:pStyle w:val="Heading3"/>
      </w:pPr>
      <w:r w:rsidRPr="001C5534">
        <w:t>11.1</w:t>
      </w:r>
      <w:r>
        <w:tab/>
      </w:r>
      <w:r w:rsidRPr="001C5534">
        <w:t>Pre-</w:t>
      </w:r>
      <w:r w:rsidR="009F7B0F">
        <w:t>treatment</w:t>
      </w:r>
      <w:r w:rsidR="004E089F">
        <w:t>/ Test portion and initial suspension</w:t>
      </w:r>
    </w:p>
    <w:p w14:paraId="1EEF9036" w14:textId="77777777" w:rsidR="005B503C" w:rsidRPr="001C5534" w:rsidRDefault="005B503C" w:rsidP="005B503C">
      <w:pPr>
        <w:rPr>
          <w:lang w:val="en-GB"/>
        </w:rPr>
      </w:pPr>
      <w:r w:rsidRPr="001C5534">
        <w:rPr>
          <w:lang w:val="en-GB"/>
        </w:rPr>
        <w:t>This sub</w:t>
      </w:r>
      <w:r>
        <w:rPr>
          <w:lang w:val="en-GB"/>
        </w:rPr>
        <w:t>section</w:t>
      </w:r>
      <w:r w:rsidRPr="001C5534">
        <w:rPr>
          <w:lang w:val="en-GB"/>
        </w:rPr>
        <w:t xml:space="preserve"> shall give all the information necessary for the preparation of the test portion from the test sample or from the laboratory sample. It shall state the mass or volume of the test portion, the accuracy with which this must be measured and, if necessary, any other relevant characteristics. </w:t>
      </w:r>
    </w:p>
    <w:p w14:paraId="677C38EA" w14:textId="77777777" w:rsidR="005B503C" w:rsidRDefault="005B503C" w:rsidP="005B503C">
      <w:pPr>
        <w:rPr>
          <w:lang w:val="en-GB"/>
        </w:rPr>
      </w:pPr>
      <w:r w:rsidRPr="001C5534">
        <w:rPr>
          <w:lang w:val="en-GB"/>
        </w:rPr>
        <w:t>Microbiological methods should refer to NMKL Method No. 91.</w:t>
      </w:r>
    </w:p>
    <w:p w14:paraId="26D6E655" w14:textId="665881A4" w:rsidR="005B503C" w:rsidRPr="005B503C" w:rsidRDefault="005B503C" w:rsidP="005B503C">
      <w:pPr>
        <w:pStyle w:val="Heading3"/>
      </w:pPr>
      <w:r w:rsidRPr="005B503C">
        <w:t>11.2</w:t>
      </w:r>
      <w:r w:rsidR="004E089F">
        <w:tab/>
      </w:r>
      <w:r w:rsidRPr="005B503C">
        <w:t>(pre-Enrichment)</w:t>
      </w:r>
    </w:p>
    <w:p w14:paraId="1D4F0088" w14:textId="1AEABA3E" w:rsidR="005B503C" w:rsidRDefault="005B503C" w:rsidP="005B503C">
      <w:pPr>
        <w:pStyle w:val="Heading3"/>
      </w:pPr>
      <w:r w:rsidRPr="005B503C">
        <w:t>11.</w:t>
      </w:r>
      <w:r w:rsidR="00724ABD">
        <w:t>2</w:t>
      </w:r>
      <w:r w:rsidR="004E089F">
        <w:tab/>
      </w:r>
      <w:r w:rsidRPr="005B503C">
        <w:t>(Selective) Enrichment</w:t>
      </w:r>
    </w:p>
    <w:p w14:paraId="32BD1E56" w14:textId="5D3A2B31" w:rsidR="009F7B0F" w:rsidRDefault="005B503C" w:rsidP="009F7B0F">
      <w:pPr>
        <w:pStyle w:val="Heading3"/>
      </w:pPr>
      <w:r w:rsidRPr="005B503C">
        <w:t>11.2</w:t>
      </w:r>
      <w:r w:rsidR="004E089F">
        <w:tab/>
      </w:r>
      <w:r w:rsidRPr="005B503C">
        <w:t xml:space="preserve">Plating </w:t>
      </w:r>
    </w:p>
    <w:p w14:paraId="7AD416FA" w14:textId="2BD9D06B" w:rsidR="005B503C" w:rsidRDefault="009F7B0F" w:rsidP="005B503C">
      <w:pPr>
        <w:rPr>
          <w:lang w:val="en-GB"/>
        </w:rPr>
      </w:pPr>
      <w:r>
        <w:rPr>
          <w:lang w:val="en-GB"/>
        </w:rPr>
        <w:t>T</w:t>
      </w:r>
      <w:r w:rsidR="005B503C" w:rsidRPr="005B503C">
        <w:rPr>
          <w:lang w:val="en-GB"/>
        </w:rPr>
        <w:t>his title may vary and if treatments or plating steps before this title apply, they are presented in sequential order as separate titles</w:t>
      </w:r>
      <w:r>
        <w:rPr>
          <w:lang w:val="en-GB"/>
        </w:rPr>
        <w:t>.</w:t>
      </w:r>
    </w:p>
    <w:p w14:paraId="1344FC4E" w14:textId="6E55D025" w:rsidR="000A5947" w:rsidRDefault="000A5947" w:rsidP="000A5947">
      <w:pPr>
        <w:pStyle w:val="Heading3"/>
      </w:pPr>
      <w:r w:rsidRPr="005B503C">
        <w:t xml:space="preserve">11.3 </w:t>
      </w:r>
      <w:r>
        <w:tab/>
      </w:r>
      <w:r w:rsidRPr="005B503C">
        <w:t>Incubation</w:t>
      </w:r>
    </w:p>
    <w:p w14:paraId="247E5008" w14:textId="77777777" w:rsidR="000A5947" w:rsidRPr="001C5534" w:rsidRDefault="000A5947" w:rsidP="000A5947">
      <w:pPr>
        <w:rPr>
          <w:lang w:val="en-GB"/>
        </w:rPr>
      </w:pPr>
      <w:r w:rsidRPr="001C5534">
        <w:rPr>
          <w:lang w:val="en-GB"/>
        </w:rPr>
        <w:t xml:space="preserve">Temperature tolerances: ± 1.0 </w:t>
      </w:r>
      <w:r>
        <w:rPr>
          <w:rFonts w:cstheme="minorHAnsi"/>
          <w:lang w:val="en-GB"/>
        </w:rPr>
        <w:t>°</w:t>
      </w:r>
      <w:r w:rsidRPr="001C5534">
        <w:rPr>
          <w:lang w:val="en-GB"/>
        </w:rPr>
        <w:t xml:space="preserve">C for air incubators and ± 0.2 </w:t>
      </w:r>
      <w:r>
        <w:rPr>
          <w:rFonts w:cstheme="minorHAnsi"/>
          <w:lang w:val="en-GB"/>
        </w:rPr>
        <w:t>°</w:t>
      </w:r>
      <w:r w:rsidRPr="001C5534">
        <w:rPr>
          <w:lang w:val="en-GB"/>
        </w:rPr>
        <w:t xml:space="preserve">C for water incubators, unless there are scientific reasons for stricter requirements. Temperature settings are given as: 37.0 ± 1.0 </w:t>
      </w:r>
      <w:r>
        <w:rPr>
          <w:rFonts w:cstheme="minorHAnsi"/>
          <w:lang w:val="en-GB"/>
        </w:rPr>
        <w:t>°</w:t>
      </w:r>
      <w:r w:rsidRPr="001C5534">
        <w:rPr>
          <w:lang w:val="en-GB"/>
        </w:rPr>
        <w:t>C.</w:t>
      </w:r>
    </w:p>
    <w:p w14:paraId="1CD100E0" w14:textId="77777777" w:rsidR="000A5947" w:rsidRPr="001C5534" w:rsidRDefault="000A5947" w:rsidP="000A5947">
      <w:pPr>
        <w:rPr>
          <w:lang w:val="en-GB"/>
        </w:rPr>
      </w:pPr>
      <w:r w:rsidRPr="001C5534">
        <w:rPr>
          <w:lang w:val="en-GB"/>
        </w:rPr>
        <w:t xml:space="preserve">Generally, the following temperatures are applied: 20, 25, 30, 37, 42 and 44 </w:t>
      </w:r>
      <w:r>
        <w:rPr>
          <w:rFonts w:cstheme="minorHAnsi"/>
          <w:lang w:val="en-GB"/>
        </w:rPr>
        <w:t>°</w:t>
      </w:r>
      <w:r w:rsidRPr="001C5534">
        <w:rPr>
          <w:lang w:val="en-GB"/>
        </w:rPr>
        <w:t>C. Other incubation temperatures are used only if scientifically reasoned.</w:t>
      </w:r>
    </w:p>
    <w:p w14:paraId="191B4D2C" w14:textId="77777777" w:rsidR="000A5947" w:rsidRPr="001C5534" w:rsidRDefault="000A5947" w:rsidP="000A5947">
      <w:pPr>
        <w:rPr>
          <w:lang w:val="en-GB"/>
        </w:rPr>
      </w:pPr>
      <w:r w:rsidRPr="001C5534">
        <w:rPr>
          <w:lang w:val="en-GB"/>
        </w:rPr>
        <w:t>Common incubation time</w:t>
      </w:r>
      <w:r>
        <w:rPr>
          <w:lang w:val="en-GB"/>
        </w:rPr>
        <w:t>s</w:t>
      </w:r>
      <w:r w:rsidRPr="001C5534">
        <w:rPr>
          <w:lang w:val="en-GB"/>
        </w:rPr>
        <w:t>:</w:t>
      </w:r>
    </w:p>
    <w:p w14:paraId="476C4283" w14:textId="77777777" w:rsidR="000A5947" w:rsidRDefault="000A5947" w:rsidP="000A5947">
      <w:pPr>
        <w:pStyle w:val="ListParagraph"/>
        <w:numPr>
          <w:ilvl w:val="0"/>
          <w:numId w:val="5"/>
        </w:numPr>
        <w:rPr>
          <w:lang w:val="en-GB"/>
        </w:rPr>
      </w:pPr>
      <w:r w:rsidRPr="001D58FB">
        <w:rPr>
          <w:lang w:val="en-GB"/>
        </w:rPr>
        <w:t>24 hours ± 3 hours</w:t>
      </w:r>
    </w:p>
    <w:p w14:paraId="1F4077E7" w14:textId="77777777" w:rsidR="000A5947" w:rsidRDefault="000A5947" w:rsidP="000A5947">
      <w:pPr>
        <w:pStyle w:val="ListParagraph"/>
        <w:numPr>
          <w:ilvl w:val="0"/>
          <w:numId w:val="5"/>
        </w:numPr>
        <w:rPr>
          <w:lang w:val="en-GB"/>
        </w:rPr>
      </w:pPr>
      <w:r w:rsidRPr="001D58FB">
        <w:rPr>
          <w:lang w:val="en-GB"/>
        </w:rPr>
        <w:t>48 hours ± 4 hours</w:t>
      </w:r>
    </w:p>
    <w:p w14:paraId="7D6EF372" w14:textId="39A75FCC" w:rsidR="000A5947" w:rsidRPr="000A5947" w:rsidRDefault="000A5947" w:rsidP="000A5947">
      <w:pPr>
        <w:pStyle w:val="ListParagraph"/>
        <w:numPr>
          <w:ilvl w:val="0"/>
          <w:numId w:val="5"/>
        </w:numPr>
        <w:rPr>
          <w:lang w:val="en-GB"/>
        </w:rPr>
      </w:pPr>
      <w:r w:rsidRPr="001D58FB">
        <w:rPr>
          <w:lang w:val="en-GB"/>
        </w:rPr>
        <w:t>72 hours ± 6 hours</w:t>
      </w:r>
    </w:p>
    <w:p w14:paraId="35827027" w14:textId="5BC80E08" w:rsidR="005B503C" w:rsidRDefault="005B503C" w:rsidP="00D03E7B">
      <w:pPr>
        <w:pStyle w:val="Heading3"/>
      </w:pPr>
      <w:r w:rsidRPr="005B503C">
        <w:t>11.</w:t>
      </w:r>
      <w:r w:rsidR="000A5947">
        <w:t>4</w:t>
      </w:r>
      <w:r w:rsidR="00D03E7B">
        <w:tab/>
      </w:r>
      <w:r w:rsidRPr="005B503C">
        <w:t>Reading of plates</w:t>
      </w:r>
    </w:p>
    <w:p w14:paraId="780E5255" w14:textId="77777777" w:rsidR="00EF5AAA" w:rsidRPr="001C5534" w:rsidRDefault="00EF5AAA" w:rsidP="00EF5AAA">
      <w:pPr>
        <w:rPr>
          <w:lang w:val="en-GB"/>
        </w:rPr>
      </w:pPr>
      <w:r w:rsidRPr="001C5534">
        <w:rPr>
          <w:lang w:val="en-GB"/>
        </w:rPr>
        <w:t>Perform the reading, calculations and the stating of the results in accordance with the NMKL Procedure No. 23.</w:t>
      </w:r>
    </w:p>
    <w:p w14:paraId="587980F0" w14:textId="77777777" w:rsidR="00EF5AAA" w:rsidRPr="001C5534" w:rsidRDefault="00EF5AAA" w:rsidP="00EF5AAA">
      <w:pPr>
        <w:rPr>
          <w:lang w:val="en-GB"/>
        </w:rPr>
      </w:pPr>
      <w:r w:rsidRPr="001C5534">
        <w:rPr>
          <w:lang w:val="en-GB"/>
        </w:rPr>
        <w:t xml:space="preserve">When applicable, state a possible colony interval for reading. </w:t>
      </w:r>
    </w:p>
    <w:p w14:paraId="6E4F6CD0" w14:textId="726E100F" w:rsidR="00EF5AAA" w:rsidRPr="00EF5AAA" w:rsidRDefault="00EF5AAA" w:rsidP="00EF5AAA">
      <w:pPr>
        <w:rPr>
          <w:lang w:val="en-GB"/>
        </w:rPr>
      </w:pPr>
      <w:r w:rsidRPr="001C5534">
        <w:rPr>
          <w:lang w:val="en-GB"/>
        </w:rPr>
        <w:t xml:space="preserve">For qualitative methods the results are given as detected / not detected in the amount of the sample analysed. </w:t>
      </w:r>
    </w:p>
    <w:p w14:paraId="490E3296" w14:textId="77777777" w:rsidR="005B503C" w:rsidRPr="001C5534" w:rsidRDefault="005B503C" w:rsidP="005B503C">
      <w:pPr>
        <w:pStyle w:val="Heading3"/>
      </w:pPr>
      <w:r w:rsidRPr="001C5534">
        <w:t>11.4</w:t>
      </w:r>
      <w:r>
        <w:tab/>
      </w:r>
      <w:r w:rsidRPr="001C5534">
        <w:t>Confirmation</w:t>
      </w:r>
    </w:p>
    <w:p w14:paraId="40A71986" w14:textId="7A13DFCC" w:rsidR="00D03E7B" w:rsidRPr="005B503C" w:rsidRDefault="005B503C" w:rsidP="005B503C">
      <w:pPr>
        <w:rPr>
          <w:lang w:val="en-GB"/>
        </w:rPr>
      </w:pPr>
      <w:r w:rsidRPr="001C5534">
        <w:rPr>
          <w:lang w:val="en-GB"/>
        </w:rPr>
        <w:t>Use the following statement, unless otherwise scientifically reasoned: "Test a selection of suspect/ presumptive colonies - usually five of each type - if confirmation is necessary or desirable."</w:t>
      </w:r>
    </w:p>
    <w:p w14:paraId="6172A9BD" w14:textId="77777777" w:rsidR="00F72859" w:rsidRPr="00F72859" w:rsidRDefault="00F72859" w:rsidP="00F72859">
      <w:pPr>
        <w:rPr>
          <w:lang w:val="en-GB"/>
        </w:rPr>
      </w:pPr>
    </w:p>
    <w:p w14:paraId="4D482D6B" w14:textId="77777777" w:rsidR="001C5534" w:rsidRPr="001C5534" w:rsidRDefault="001C5534" w:rsidP="00FB2F32">
      <w:pPr>
        <w:pStyle w:val="Heading2"/>
      </w:pPr>
      <w:r>
        <w:lastRenderedPageBreak/>
        <w:t xml:space="preserve">12. </w:t>
      </w:r>
      <w:r w:rsidRPr="001C5534">
        <w:t>CALCULATION OF RESULTS</w:t>
      </w:r>
    </w:p>
    <w:p w14:paraId="6503387C" w14:textId="77777777" w:rsidR="001C5534" w:rsidRPr="001C5534" w:rsidRDefault="001C5534" w:rsidP="001C5534">
      <w:pPr>
        <w:rPr>
          <w:lang w:val="en-GB"/>
        </w:rPr>
      </w:pPr>
      <w:r w:rsidRPr="001C5534">
        <w:rPr>
          <w:lang w:val="en-GB"/>
        </w:rPr>
        <w:t>Include how the calculations are to be carried out, the number of significant figures, as we</w:t>
      </w:r>
      <w:r>
        <w:rPr>
          <w:lang w:val="en-GB"/>
        </w:rPr>
        <w:t>ll as the unit(s) to be stated.</w:t>
      </w:r>
    </w:p>
    <w:p w14:paraId="479AEC5A" w14:textId="77777777" w:rsidR="001C5534" w:rsidRPr="001C5534" w:rsidRDefault="001C5534" w:rsidP="00FB2F32">
      <w:pPr>
        <w:pStyle w:val="Heading2"/>
      </w:pPr>
      <w:r>
        <w:t xml:space="preserve">13. </w:t>
      </w:r>
      <w:r w:rsidRPr="001C5534">
        <w:t>EXPRESSION OF THE RESULT</w:t>
      </w:r>
    </w:p>
    <w:p w14:paraId="1D6A037A" w14:textId="77777777" w:rsidR="001C5534" w:rsidRPr="001C5534" w:rsidRDefault="001C5534" w:rsidP="001C5534">
      <w:pPr>
        <w:rPr>
          <w:lang w:val="en-GB"/>
        </w:rPr>
      </w:pPr>
      <w:r w:rsidRPr="001C5534">
        <w:rPr>
          <w:lang w:val="en-GB"/>
        </w:rPr>
        <w:t>State how the results should be expressed, which unit etc.</w:t>
      </w:r>
    </w:p>
    <w:p w14:paraId="07141D71" w14:textId="15B4AB45" w:rsidR="001C5534" w:rsidRPr="001C5534" w:rsidRDefault="001C5534" w:rsidP="00FB2F32">
      <w:pPr>
        <w:pStyle w:val="Heading2"/>
      </w:pPr>
      <w:r>
        <w:t xml:space="preserve">14. </w:t>
      </w:r>
      <w:r w:rsidRPr="001C5534">
        <w:t>RELIABILITY OF THE METHOD</w:t>
      </w:r>
    </w:p>
    <w:p w14:paraId="29BA1B6B" w14:textId="031744A8" w:rsidR="001C5534" w:rsidRPr="001C5534" w:rsidRDefault="001C5534" w:rsidP="001C5534">
      <w:pPr>
        <w:rPr>
          <w:lang w:val="en-GB"/>
        </w:rPr>
      </w:pPr>
      <w:r w:rsidRPr="001C5534">
        <w:rPr>
          <w:lang w:val="en-GB"/>
        </w:rPr>
        <w:t xml:space="preserve">This </w:t>
      </w:r>
      <w:r w:rsidR="00860E44">
        <w:rPr>
          <w:lang w:val="en-GB"/>
        </w:rPr>
        <w:t>section</w:t>
      </w:r>
      <w:r w:rsidRPr="001C5534">
        <w:rPr>
          <w:lang w:val="en-GB"/>
        </w:rPr>
        <w:t xml:space="preserve"> specifies the year of the collaborative study, the matrixes and levels, the number of participating laboratories </w:t>
      </w:r>
      <w:r>
        <w:rPr>
          <w:lang w:val="en-GB"/>
        </w:rPr>
        <w:t>and the organiser of the study.</w:t>
      </w:r>
    </w:p>
    <w:p w14:paraId="701C78E4" w14:textId="77777777" w:rsidR="00C643D5" w:rsidRDefault="001C5534">
      <w:pPr>
        <w:rPr>
          <w:lang w:val="en-GB"/>
        </w:rPr>
      </w:pPr>
      <w:r w:rsidRPr="001C5534">
        <w:rPr>
          <w:lang w:val="en-GB"/>
        </w:rPr>
        <w:t>For qualitative methods</w:t>
      </w:r>
      <w:r w:rsidR="00793764">
        <w:rPr>
          <w:lang w:val="en-GB"/>
        </w:rPr>
        <w:t>,</w:t>
      </w:r>
      <w:r w:rsidRPr="001C5534">
        <w:rPr>
          <w:lang w:val="en-GB"/>
        </w:rPr>
        <w:t xml:space="preserve"> include the specificity and the sensitivity. </w:t>
      </w:r>
    </w:p>
    <w:p w14:paraId="2069EEDD" w14:textId="1F147D6D" w:rsidR="0037217B" w:rsidRDefault="001C5534">
      <w:pPr>
        <w:rPr>
          <w:lang w:val="en-GB"/>
        </w:rPr>
      </w:pPr>
      <w:r w:rsidRPr="001C5534">
        <w:rPr>
          <w:lang w:val="en-GB"/>
        </w:rPr>
        <w:t>For quantitative methods include the precision (repeatability and reproducibility). The results from the study should be given in</w:t>
      </w:r>
      <w:r>
        <w:rPr>
          <w:lang w:val="en-GB"/>
        </w:rPr>
        <w:t xml:space="preserve"> a schematic form, as an annex.</w:t>
      </w:r>
    </w:p>
    <w:p w14:paraId="64756FA6" w14:textId="171A0316" w:rsidR="001C5534" w:rsidRDefault="00B92EB5" w:rsidP="00B92EB5">
      <w:pPr>
        <w:rPr>
          <w:lang w:val="en-GB"/>
        </w:rPr>
      </w:pPr>
      <w:r>
        <w:rPr>
          <w:lang w:val="en-GB"/>
        </w:rPr>
        <w:t>For methods not validated in interlaboratory study state: “</w:t>
      </w:r>
      <w:r w:rsidRPr="00F854D7">
        <w:rPr>
          <w:lang w:val="en-GB"/>
        </w:rPr>
        <w:t>This NMKL method has not been validated in an interlaboratory study.</w:t>
      </w:r>
      <w:r>
        <w:rPr>
          <w:lang w:val="en-GB"/>
        </w:rPr>
        <w:t>“</w:t>
      </w:r>
    </w:p>
    <w:p w14:paraId="4E0594FD" w14:textId="77777777" w:rsidR="00045DB8" w:rsidRPr="001C5534" w:rsidRDefault="00045DB8" w:rsidP="00B92EB5">
      <w:pPr>
        <w:rPr>
          <w:lang w:val="en-GB"/>
        </w:rPr>
      </w:pPr>
    </w:p>
    <w:p w14:paraId="5984E1DF" w14:textId="6562B384" w:rsidR="001625DD" w:rsidRDefault="0037217B" w:rsidP="000E2D1C">
      <w:pPr>
        <w:rPr>
          <w:lang w:val="en-GB"/>
        </w:rPr>
      </w:pPr>
      <w:r>
        <w:rPr>
          <w:noProof/>
        </w:rPr>
        <w:drawing>
          <wp:anchor distT="0" distB="0" distL="114300" distR="114300" simplePos="0" relativeHeight="251658241" behindDoc="1" locked="0" layoutInCell="1" allowOverlap="1" wp14:anchorId="4BD661FF" wp14:editId="537DBDAD">
            <wp:simplePos x="0" y="0"/>
            <wp:positionH relativeFrom="margin">
              <wp:posOffset>0</wp:posOffset>
            </wp:positionH>
            <wp:positionV relativeFrom="paragraph">
              <wp:posOffset>-10886</wp:posOffset>
            </wp:positionV>
            <wp:extent cx="996950" cy="372110"/>
            <wp:effectExtent l="0" t="0" r="0" b="8890"/>
            <wp:wrapTight wrapText="bothSides">
              <wp:wrapPolygon edited="0">
                <wp:start x="0" y="0"/>
                <wp:lineTo x="0" y="21010"/>
                <wp:lineTo x="3302" y="21010"/>
                <wp:lineTo x="21050" y="18799"/>
                <wp:lineTo x="21050" y="3317"/>
                <wp:lineTo x="3302" y="0"/>
                <wp:lineTo x="0" y="0"/>
              </wp:wrapPolygon>
            </wp:wrapTight>
            <wp:docPr id="7" name="Picture 7" descr="P85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857#y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695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D1C" w:rsidRPr="001C5534">
        <w:rPr>
          <w:lang w:val="en-GB"/>
        </w:rPr>
        <w:t>©NMKL</w:t>
      </w:r>
      <w:r w:rsidR="000E2D1C">
        <w:rPr>
          <w:lang w:val="en-GB"/>
        </w:rPr>
        <w:t>. NMKL is responsible for the reliability of the method and questions should be directed to the NMKL secretariat: post@nmkl.org.</w:t>
      </w:r>
    </w:p>
    <w:p w14:paraId="5760B7FB" w14:textId="77777777" w:rsidR="00FA032C" w:rsidRDefault="00FA032C" w:rsidP="00ED2153">
      <w:pPr>
        <w:rPr>
          <w:lang w:val="en-GB"/>
        </w:rPr>
      </w:pPr>
    </w:p>
    <w:p w14:paraId="611961CD" w14:textId="77777777" w:rsidR="00045DB8" w:rsidRDefault="00045DB8">
      <w:pPr>
        <w:rPr>
          <w:b/>
          <w:sz w:val="32"/>
          <w:szCs w:val="32"/>
          <w:lang w:val="en-GB"/>
        </w:rPr>
      </w:pPr>
      <w:bookmarkStart w:id="0" w:name="_Ref103341199"/>
      <w:r>
        <w:rPr>
          <w:lang w:val="en-GB"/>
        </w:rPr>
        <w:br w:type="page"/>
      </w:r>
    </w:p>
    <w:p w14:paraId="612BB7CE" w14:textId="1C1EB52E" w:rsidR="003F68B6" w:rsidRPr="00287763" w:rsidRDefault="003F68B6" w:rsidP="003F68B6">
      <w:pPr>
        <w:pStyle w:val="Heading1"/>
        <w:rPr>
          <w:lang w:val="en-GB"/>
        </w:rPr>
      </w:pPr>
      <w:r w:rsidRPr="00287763">
        <w:rPr>
          <w:lang w:val="en-GB"/>
        </w:rPr>
        <w:lastRenderedPageBreak/>
        <w:t>ANNEX 1</w:t>
      </w:r>
      <w:bookmarkEnd w:id="0"/>
    </w:p>
    <w:p w14:paraId="00A33394" w14:textId="22760E76" w:rsidR="003F68B6" w:rsidRDefault="00ED7614" w:rsidP="00ED2153">
      <w:pPr>
        <w:rPr>
          <w:lang w:val="en-GB"/>
        </w:rPr>
      </w:pPr>
      <w:r>
        <w:rPr>
          <w:lang w:val="en-GB"/>
        </w:rPr>
        <w:t xml:space="preserve">Annexes can be </w:t>
      </w:r>
      <w:r w:rsidR="00F83B5B">
        <w:rPr>
          <w:lang w:val="en-GB"/>
        </w:rPr>
        <w:t>included</w:t>
      </w:r>
      <w:r>
        <w:rPr>
          <w:lang w:val="en-GB"/>
        </w:rPr>
        <w:t xml:space="preserve"> </w:t>
      </w:r>
      <w:r w:rsidR="00F83B5B">
        <w:rPr>
          <w:lang w:val="en-GB"/>
        </w:rPr>
        <w:t>at</w:t>
      </w:r>
      <w:r>
        <w:rPr>
          <w:lang w:val="en-GB"/>
        </w:rPr>
        <w:t xml:space="preserve"> </w:t>
      </w:r>
      <w:r w:rsidR="00893C0B">
        <w:rPr>
          <w:lang w:val="en-GB"/>
        </w:rPr>
        <w:t>the end of the method.</w:t>
      </w:r>
    </w:p>
    <w:p w14:paraId="69E783D4" w14:textId="77777777" w:rsidR="00DF4EBC" w:rsidRDefault="00DF4EBC" w:rsidP="00ED2153">
      <w:pPr>
        <w:rPr>
          <w:lang w:val="en-GB"/>
        </w:rPr>
      </w:pPr>
    </w:p>
    <w:p w14:paraId="46D0D5A8" w14:textId="4CB0A37D" w:rsidR="00893C0B" w:rsidRPr="00287763" w:rsidRDefault="00893C0B" w:rsidP="00893C0B">
      <w:pPr>
        <w:pStyle w:val="Heading1"/>
        <w:rPr>
          <w:lang w:val="en-GB"/>
        </w:rPr>
      </w:pPr>
      <w:r w:rsidRPr="00287763">
        <w:rPr>
          <w:lang w:val="en-GB"/>
        </w:rPr>
        <w:t xml:space="preserve">ANNEX </w:t>
      </w:r>
      <w:r>
        <w:rPr>
          <w:lang w:val="en-GB"/>
        </w:rPr>
        <w:t>2</w:t>
      </w:r>
    </w:p>
    <w:p w14:paraId="092DF2C8" w14:textId="77777777" w:rsidR="00FA032C" w:rsidRDefault="00FA032C" w:rsidP="00ED2153">
      <w:pPr>
        <w:rPr>
          <w:lang w:val="en-GB"/>
        </w:rPr>
      </w:pPr>
    </w:p>
    <w:p w14:paraId="7D30AF85" w14:textId="77777777" w:rsidR="00FA032C" w:rsidRDefault="00FA032C" w:rsidP="00ED2153">
      <w:pPr>
        <w:rPr>
          <w:lang w:val="en-GB"/>
        </w:rPr>
      </w:pPr>
    </w:p>
    <w:p w14:paraId="28198E95" w14:textId="77777777" w:rsidR="00FA032C" w:rsidRDefault="00FA032C" w:rsidP="00ED2153">
      <w:pPr>
        <w:rPr>
          <w:lang w:val="en-GB"/>
        </w:rPr>
      </w:pPr>
    </w:p>
    <w:p w14:paraId="65EBE4A8" w14:textId="77777777" w:rsidR="00FA032C" w:rsidRDefault="00FA032C" w:rsidP="00ED2153">
      <w:pPr>
        <w:rPr>
          <w:lang w:val="en-GB"/>
        </w:rPr>
      </w:pPr>
    </w:p>
    <w:p w14:paraId="6AEFFAB1" w14:textId="77777777" w:rsidR="00FA032C" w:rsidRDefault="00FA032C" w:rsidP="00ED2153">
      <w:pPr>
        <w:rPr>
          <w:lang w:val="en-GB"/>
        </w:rPr>
      </w:pPr>
    </w:p>
    <w:p w14:paraId="7D3DAB8A" w14:textId="77777777" w:rsidR="00FA032C" w:rsidRDefault="00FA032C" w:rsidP="00ED2153">
      <w:pPr>
        <w:rPr>
          <w:lang w:val="en-GB"/>
        </w:rPr>
      </w:pPr>
    </w:p>
    <w:p w14:paraId="6752D3E2" w14:textId="77777777" w:rsidR="00FA032C" w:rsidRDefault="00FA032C" w:rsidP="00ED2153">
      <w:pPr>
        <w:rPr>
          <w:lang w:val="en-GB"/>
        </w:rPr>
      </w:pPr>
    </w:p>
    <w:p w14:paraId="1E3328F0" w14:textId="77777777" w:rsidR="00FA032C" w:rsidRDefault="00FA032C" w:rsidP="00ED2153">
      <w:pPr>
        <w:rPr>
          <w:lang w:val="en-GB"/>
        </w:rPr>
      </w:pPr>
    </w:p>
    <w:p w14:paraId="0C460172" w14:textId="77777777" w:rsidR="00FA032C" w:rsidRDefault="00FA032C" w:rsidP="00ED2153">
      <w:pPr>
        <w:rPr>
          <w:lang w:val="en-GB"/>
        </w:rPr>
      </w:pPr>
    </w:p>
    <w:p w14:paraId="7044FA6E" w14:textId="77777777" w:rsidR="00FA032C" w:rsidRDefault="00FA032C" w:rsidP="00ED2153">
      <w:pPr>
        <w:rPr>
          <w:lang w:val="en-GB"/>
        </w:rPr>
      </w:pPr>
    </w:p>
    <w:p w14:paraId="6C648497" w14:textId="77777777" w:rsidR="00FA032C" w:rsidRDefault="00FA032C" w:rsidP="00ED2153">
      <w:pPr>
        <w:rPr>
          <w:lang w:val="en-GB"/>
        </w:rPr>
      </w:pPr>
    </w:p>
    <w:p w14:paraId="5C001E33" w14:textId="77777777" w:rsidR="00FA032C" w:rsidRDefault="00FA032C" w:rsidP="00ED2153">
      <w:pPr>
        <w:rPr>
          <w:lang w:val="en-GB"/>
        </w:rPr>
      </w:pPr>
    </w:p>
    <w:p w14:paraId="3694291A" w14:textId="77777777" w:rsidR="00893C0B" w:rsidRDefault="00893C0B" w:rsidP="00ED2153">
      <w:pPr>
        <w:rPr>
          <w:lang w:val="en-GB"/>
        </w:rPr>
      </w:pPr>
    </w:p>
    <w:p w14:paraId="33E534A3" w14:textId="77777777" w:rsidR="00FA032C" w:rsidRDefault="00FA032C" w:rsidP="004D74FB">
      <w:pPr>
        <w:rPr>
          <w:lang w:val="en-GB"/>
        </w:rPr>
      </w:pPr>
    </w:p>
    <w:p w14:paraId="703ED15D" w14:textId="227C43C2" w:rsidR="00190507" w:rsidRDefault="00190507" w:rsidP="004D74FB">
      <w:pPr>
        <w:rPr>
          <w:lang w:val="en-GB"/>
        </w:rPr>
      </w:pPr>
    </w:p>
    <w:p w14:paraId="2C988C2F" w14:textId="77777777" w:rsidR="004D74FB" w:rsidRDefault="004D74FB" w:rsidP="004D74FB">
      <w:pPr>
        <w:rPr>
          <w:lang w:val="en-GB"/>
        </w:rPr>
      </w:pPr>
    </w:p>
    <w:p w14:paraId="6B221737" w14:textId="77777777" w:rsidR="006133E1" w:rsidRDefault="006133E1" w:rsidP="006133E1">
      <w:pPr>
        <w:rPr>
          <w:lang w:val="en-GB"/>
        </w:rPr>
      </w:pPr>
    </w:p>
    <w:p w14:paraId="7BFE5247" w14:textId="77777777" w:rsidR="006133E1" w:rsidRDefault="006133E1" w:rsidP="006133E1">
      <w:pPr>
        <w:rPr>
          <w:lang w:val="en-GB"/>
        </w:rPr>
      </w:pPr>
    </w:p>
    <w:p w14:paraId="15E1779E" w14:textId="4F2850F4" w:rsidR="006133E1" w:rsidRDefault="006133E1" w:rsidP="006133E1">
      <w:pPr>
        <w:rPr>
          <w:lang w:val="en-GB"/>
        </w:rPr>
      </w:pPr>
      <w:r>
        <w:rPr>
          <w:noProof/>
        </w:rPr>
        <w:drawing>
          <wp:anchor distT="0" distB="0" distL="114300" distR="114300" simplePos="0" relativeHeight="251658240" behindDoc="1" locked="0" layoutInCell="1" allowOverlap="1" wp14:anchorId="4BE816A1" wp14:editId="21B90092">
            <wp:simplePos x="0" y="0"/>
            <wp:positionH relativeFrom="margin">
              <wp:posOffset>6350</wp:posOffset>
            </wp:positionH>
            <wp:positionV relativeFrom="paragraph">
              <wp:posOffset>172720</wp:posOffset>
            </wp:positionV>
            <wp:extent cx="996950" cy="372110"/>
            <wp:effectExtent l="0" t="0" r="0" b="8890"/>
            <wp:wrapTight wrapText="bothSides">
              <wp:wrapPolygon edited="0">
                <wp:start x="0" y="0"/>
                <wp:lineTo x="0" y="21010"/>
                <wp:lineTo x="3302" y="21010"/>
                <wp:lineTo x="21050" y="18799"/>
                <wp:lineTo x="21050" y="3317"/>
                <wp:lineTo x="3302" y="0"/>
                <wp:lineTo x="0" y="0"/>
              </wp:wrapPolygon>
            </wp:wrapTight>
            <wp:docPr id="4" name="Picture 4"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695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6ABC3" w14:textId="77777777" w:rsidR="006133E1" w:rsidRPr="00494536" w:rsidRDefault="006133E1" w:rsidP="006133E1">
      <w:pPr>
        <w:spacing w:after="0"/>
        <w:rPr>
          <w:lang w:val="en-GB"/>
        </w:rPr>
      </w:pPr>
      <w:r w:rsidRPr="001C5534">
        <w:rPr>
          <w:lang w:val="en-GB"/>
        </w:rPr>
        <w:t>©NMKL</w:t>
      </w:r>
    </w:p>
    <w:sectPr w:rsidR="006133E1" w:rsidRPr="00494536" w:rsidSect="00E416E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759F" w14:textId="77777777" w:rsidR="00D33D2E" w:rsidRDefault="00D33D2E" w:rsidP="00494536">
      <w:pPr>
        <w:spacing w:after="0" w:line="240" w:lineRule="auto"/>
      </w:pPr>
      <w:r>
        <w:separator/>
      </w:r>
    </w:p>
  </w:endnote>
  <w:endnote w:type="continuationSeparator" w:id="0">
    <w:p w14:paraId="793C924D" w14:textId="77777777" w:rsidR="00D33D2E" w:rsidRDefault="00D33D2E" w:rsidP="00494536">
      <w:pPr>
        <w:spacing w:after="0" w:line="240" w:lineRule="auto"/>
      </w:pPr>
      <w:r>
        <w:continuationSeparator/>
      </w:r>
    </w:p>
  </w:endnote>
  <w:endnote w:type="continuationNotice" w:id="1">
    <w:p w14:paraId="6F480348" w14:textId="77777777" w:rsidR="00D33D2E" w:rsidRDefault="00D33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9596" w14:textId="77777777" w:rsidR="009E00C5" w:rsidRDefault="009E0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87E3" w14:textId="4FD146C2" w:rsidR="00494536" w:rsidRPr="00494536" w:rsidRDefault="00494536" w:rsidP="00494536">
    <w:pPr>
      <w:pStyle w:val="Footer"/>
      <w:pBdr>
        <w:top w:val="single" w:sz="4" w:space="1" w:color="auto"/>
      </w:pBdr>
      <w:rPr>
        <w:rFonts w:cstheme="minorHAnsi"/>
        <w:sz w:val="20"/>
        <w:szCs w:val="20"/>
      </w:rPr>
    </w:pPr>
    <w:r w:rsidRPr="00494536">
      <w:rPr>
        <w:rFonts w:cstheme="minorHAnsi"/>
        <w:sz w:val="20"/>
        <w:szCs w:val="20"/>
      </w:rPr>
      <w:t xml:space="preserve">NMKL Method No. xxx, Year 20xx, </w:t>
    </w:r>
    <w:r w:rsidR="00F81366">
      <w:rPr>
        <w:rFonts w:cstheme="minorHAnsi"/>
        <w:sz w:val="20"/>
        <w:szCs w:val="20"/>
      </w:rPr>
      <w:t>Ed</w:t>
    </w:r>
    <w:r w:rsidRPr="00494536">
      <w:rPr>
        <w:rFonts w:cstheme="minorHAnsi"/>
        <w:sz w:val="20"/>
        <w:szCs w:val="20"/>
      </w:rPr>
      <w:t>. xx</w:t>
    </w:r>
    <w:r w:rsidRPr="00494536">
      <w:rPr>
        <w:rFonts w:cstheme="minorHAnsi"/>
        <w:sz w:val="20"/>
        <w:szCs w:val="20"/>
      </w:rPr>
      <w:tab/>
    </w:r>
    <w:r w:rsidRPr="00494536">
      <w:rPr>
        <w:rFonts w:cstheme="minorHAnsi"/>
        <w:sz w:val="20"/>
        <w:szCs w:val="20"/>
      </w:rPr>
      <w:tab/>
    </w:r>
    <w:r w:rsidR="008C7C5B">
      <w:rPr>
        <w:rFonts w:cstheme="minorHAnsi"/>
        <w:sz w:val="20"/>
        <w:szCs w:val="20"/>
      </w:rPr>
      <w:t xml:space="preserve">Page </w:t>
    </w:r>
    <w:r w:rsidRPr="00494536">
      <w:rPr>
        <w:rStyle w:val="PageNumber"/>
        <w:rFonts w:cstheme="minorHAnsi"/>
        <w:sz w:val="20"/>
        <w:szCs w:val="20"/>
      </w:rPr>
      <w:fldChar w:fldCharType="begin"/>
    </w:r>
    <w:r w:rsidRPr="00494536">
      <w:rPr>
        <w:rStyle w:val="PageNumber"/>
        <w:rFonts w:cstheme="minorHAnsi"/>
        <w:sz w:val="20"/>
        <w:szCs w:val="20"/>
      </w:rPr>
      <w:instrText xml:space="preserve"> PAGE </w:instrText>
    </w:r>
    <w:r w:rsidRPr="00494536">
      <w:rPr>
        <w:rStyle w:val="PageNumber"/>
        <w:rFonts w:cstheme="minorHAnsi"/>
        <w:sz w:val="20"/>
        <w:szCs w:val="20"/>
      </w:rPr>
      <w:fldChar w:fldCharType="separate"/>
    </w:r>
    <w:r w:rsidRPr="00494536">
      <w:rPr>
        <w:rStyle w:val="PageNumber"/>
        <w:rFonts w:cstheme="minorHAnsi"/>
        <w:sz w:val="20"/>
        <w:szCs w:val="20"/>
      </w:rPr>
      <w:t>4</w:t>
    </w:r>
    <w:r w:rsidRPr="00494536">
      <w:rPr>
        <w:rStyle w:val="PageNumber"/>
        <w:rFonts w:cstheme="minorHAnsi"/>
        <w:sz w:val="20"/>
        <w:szCs w:val="20"/>
      </w:rPr>
      <w:fldChar w:fldCharType="end"/>
    </w:r>
    <w:r w:rsidRPr="00494536">
      <w:rPr>
        <w:rStyle w:val="PageNumber"/>
        <w:rFonts w:cstheme="minorHAnsi"/>
        <w:sz w:val="20"/>
        <w:szCs w:val="20"/>
      </w:rPr>
      <w:t xml:space="preserve"> / </w:t>
    </w:r>
    <w:r w:rsidRPr="00494536">
      <w:rPr>
        <w:rFonts w:cstheme="minorHAnsi"/>
        <w:sz w:val="20"/>
        <w:szCs w:val="20"/>
      </w:rPr>
      <w:fldChar w:fldCharType="begin"/>
    </w:r>
    <w:r w:rsidRPr="00494536">
      <w:rPr>
        <w:rFonts w:cstheme="minorHAnsi"/>
        <w:sz w:val="20"/>
        <w:szCs w:val="20"/>
      </w:rPr>
      <w:instrText xml:space="preserve"> NUMPAGES </w:instrText>
    </w:r>
    <w:r w:rsidRPr="00494536">
      <w:rPr>
        <w:rFonts w:cstheme="minorHAnsi"/>
        <w:sz w:val="20"/>
        <w:szCs w:val="20"/>
      </w:rPr>
      <w:fldChar w:fldCharType="separate"/>
    </w:r>
    <w:r w:rsidRPr="00494536">
      <w:rPr>
        <w:rFonts w:cstheme="minorHAnsi"/>
        <w:sz w:val="20"/>
        <w:szCs w:val="20"/>
      </w:rPr>
      <w:t>8</w:t>
    </w:r>
    <w:r w:rsidRPr="00494536">
      <w:rPr>
        <w:rFonts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B598" w14:textId="17EBBF7B" w:rsidR="00DE6AAB" w:rsidRPr="00DE6AAB" w:rsidRDefault="00DE6AAB" w:rsidP="00DE6AAB">
    <w:pPr>
      <w:pStyle w:val="Footer"/>
      <w:pBdr>
        <w:top w:val="single" w:sz="4" w:space="1" w:color="auto"/>
      </w:pBdr>
      <w:rPr>
        <w:rFonts w:cstheme="minorHAnsi"/>
        <w:sz w:val="20"/>
        <w:szCs w:val="20"/>
      </w:rPr>
    </w:pPr>
    <w:r w:rsidRPr="00494536">
      <w:rPr>
        <w:rFonts w:cstheme="minorHAnsi"/>
        <w:sz w:val="20"/>
        <w:szCs w:val="20"/>
      </w:rPr>
      <w:t xml:space="preserve">NMKL </w:t>
    </w:r>
    <w:r w:rsidR="0057256C">
      <w:rPr>
        <w:rFonts w:cstheme="minorHAnsi"/>
        <w:sz w:val="20"/>
        <w:szCs w:val="20"/>
      </w:rPr>
      <w:t xml:space="preserve">Method No. </w:t>
    </w:r>
    <w:r w:rsidRPr="00494536">
      <w:rPr>
        <w:rFonts w:cstheme="minorHAnsi"/>
        <w:sz w:val="20"/>
        <w:szCs w:val="20"/>
      </w:rPr>
      <w:t xml:space="preserve">xxx, Year 20xx, </w:t>
    </w:r>
    <w:r w:rsidR="00F81366">
      <w:rPr>
        <w:rFonts w:cstheme="minorHAnsi"/>
        <w:sz w:val="20"/>
        <w:szCs w:val="20"/>
      </w:rPr>
      <w:t>Ed</w:t>
    </w:r>
    <w:r w:rsidRPr="00494536">
      <w:rPr>
        <w:rFonts w:cstheme="minorHAnsi"/>
        <w:sz w:val="20"/>
        <w:szCs w:val="20"/>
      </w:rPr>
      <w:t>. xx</w:t>
    </w:r>
    <w:r w:rsidRPr="00494536">
      <w:rPr>
        <w:rFonts w:cstheme="minorHAnsi"/>
        <w:sz w:val="20"/>
        <w:szCs w:val="20"/>
      </w:rPr>
      <w:tab/>
    </w:r>
    <w:r w:rsidRPr="00494536">
      <w:rPr>
        <w:rFonts w:cstheme="minorHAnsi"/>
        <w:sz w:val="20"/>
        <w:szCs w:val="20"/>
      </w:rPr>
      <w:tab/>
    </w:r>
    <w:r w:rsidR="008C7C5B">
      <w:rPr>
        <w:rFonts w:cstheme="minorHAnsi"/>
        <w:sz w:val="20"/>
        <w:szCs w:val="20"/>
      </w:rPr>
      <w:t xml:space="preserve">Page </w:t>
    </w:r>
    <w:r w:rsidRPr="00494536">
      <w:rPr>
        <w:rStyle w:val="PageNumber"/>
        <w:rFonts w:cstheme="minorHAnsi"/>
        <w:sz w:val="20"/>
        <w:szCs w:val="20"/>
      </w:rPr>
      <w:fldChar w:fldCharType="begin"/>
    </w:r>
    <w:r w:rsidRPr="00494536">
      <w:rPr>
        <w:rStyle w:val="PageNumber"/>
        <w:rFonts w:cstheme="minorHAnsi"/>
        <w:sz w:val="20"/>
        <w:szCs w:val="20"/>
      </w:rPr>
      <w:instrText xml:space="preserve"> PAGE </w:instrText>
    </w:r>
    <w:r w:rsidRPr="00494536">
      <w:rPr>
        <w:rStyle w:val="PageNumber"/>
        <w:rFonts w:cstheme="minorHAnsi"/>
        <w:sz w:val="20"/>
        <w:szCs w:val="20"/>
      </w:rPr>
      <w:fldChar w:fldCharType="separate"/>
    </w:r>
    <w:r>
      <w:rPr>
        <w:rStyle w:val="PageNumber"/>
        <w:rFonts w:cstheme="minorHAnsi"/>
        <w:sz w:val="20"/>
        <w:szCs w:val="20"/>
      </w:rPr>
      <w:t>3</w:t>
    </w:r>
    <w:r w:rsidRPr="00494536">
      <w:rPr>
        <w:rStyle w:val="PageNumber"/>
        <w:rFonts w:cstheme="minorHAnsi"/>
        <w:sz w:val="20"/>
        <w:szCs w:val="20"/>
      </w:rPr>
      <w:fldChar w:fldCharType="end"/>
    </w:r>
    <w:r w:rsidRPr="00494536">
      <w:rPr>
        <w:rStyle w:val="PageNumber"/>
        <w:rFonts w:cstheme="minorHAnsi"/>
        <w:sz w:val="20"/>
        <w:szCs w:val="20"/>
      </w:rPr>
      <w:t xml:space="preserve"> / </w:t>
    </w:r>
    <w:r w:rsidRPr="00494536">
      <w:rPr>
        <w:rFonts w:cstheme="minorHAnsi"/>
        <w:sz w:val="20"/>
        <w:szCs w:val="20"/>
      </w:rPr>
      <w:fldChar w:fldCharType="begin"/>
    </w:r>
    <w:r w:rsidRPr="00494536">
      <w:rPr>
        <w:rFonts w:cstheme="minorHAnsi"/>
        <w:sz w:val="20"/>
        <w:szCs w:val="20"/>
      </w:rPr>
      <w:instrText xml:space="preserve"> NUMPAGES </w:instrText>
    </w:r>
    <w:r w:rsidRPr="00494536">
      <w:rPr>
        <w:rFonts w:cstheme="minorHAnsi"/>
        <w:sz w:val="20"/>
        <w:szCs w:val="20"/>
      </w:rPr>
      <w:fldChar w:fldCharType="separate"/>
    </w:r>
    <w:r>
      <w:rPr>
        <w:rFonts w:cstheme="minorHAnsi"/>
        <w:sz w:val="20"/>
        <w:szCs w:val="20"/>
      </w:rPr>
      <w:t>6</w:t>
    </w:r>
    <w:r w:rsidRPr="00494536">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17DD" w14:textId="77777777" w:rsidR="00D33D2E" w:rsidRDefault="00D33D2E" w:rsidP="00494536">
      <w:pPr>
        <w:spacing w:after="0" w:line="240" w:lineRule="auto"/>
      </w:pPr>
      <w:r>
        <w:separator/>
      </w:r>
    </w:p>
  </w:footnote>
  <w:footnote w:type="continuationSeparator" w:id="0">
    <w:p w14:paraId="1912BBF7" w14:textId="77777777" w:rsidR="00D33D2E" w:rsidRDefault="00D33D2E" w:rsidP="00494536">
      <w:pPr>
        <w:spacing w:after="0" w:line="240" w:lineRule="auto"/>
      </w:pPr>
      <w:r>
        <w:continuationSeparator/>
      </w:r>
    </w:p>
  </w:footnote>
  <w:footnote w:type="continuationNotice" w:id="1">
    <w:p w14:paraId="69C9861E" w14:textId="77777777" w:rsidR="00D33D2E" w:rsidRDefault="00D33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6FDD" w14:textId="77777777" w:rsidR="009E00C5" w:rsidRDefault="009E0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9C19" w14:textId="77777777" w:rsidR="009E00C5" w:rsidRDefault="009E0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7" w:type="dxa"/>
      <w:tblInd w:w="-165" w:type="dxa"/>
      <w:tblBorders>
        <w:top w:val="double" w:sz="6" w:space="0" w:color="FFFFFF"/>
        <w:left w:val="double" w:sz="6" w:space="0" w:color="FFFFFF"/>
        <w:bottom w:val="double" w:sz="6" w:space="0" w:color="FFFFFF"/>
        <w:right w:val="doub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6330"/>
      <w:gridCol w:w="2967"/>
    </w:tblGrid>
    <w:tr w:rsidR="00DE6AAB" w:rsidRPr="00494536" w14:paraId="49C14774" w14:textId="77777777" w:rsidTr="008D6E79">
      <w:trPr>
        <w:trHeight w:val="1657"/>
      </w:trPr>
      <w:tc>
        <w:tcPr>
          <w:tcW w:w="6330" w:type="dxa"/>
          <w:tcBorders>
            <w:right w:val="single" w:sz="12" w:space="0" w:color="FFFFFF" w:themeColor="background1"/>
          </w:tcBorders>
          <w:shd w:val="solid" w:color="auto" w:fill="auto"/>
        </w:tcPr>
        <w:p w14:paraId="319F9AE0" w14:textId="475477AD" w:rsidR="00BC2428" w:rsidRPr="003A494E" w:rsidRDefault="00BC2428" w:rsidP="00BC2428">
          <w:pPr>
            <w:overflowPunct w:val="0"/>
            <w:autoSpaceDE w:val="0"/>
            <w:autoSpaceDN w:val="0"/>
            <w:adjustRightInd w:val="0"/>
            <w:spacing w:after="0" w:line="240" w:lineRule="auto"/>
            <w:textAlignment w:val="baseline"/>
            <w:rPr>
              <w:rFonts w:eastAsia="Times New Roman" w:cstheme="minorHAnsi"/>
              <w:b/>
              <w:bCs/>
              <w:color w:val="FFFFFF" w:themeColor="background1"/>
              <w:sz w:val="18"/>
              <w:szCs w:val="18"/>
              <w:lang w:eastAsia="nb-NO"/>
            </w:rPr>
          </w:pPr>
        </w:p>
        <w:p w14:paraId="2681B782" w14:textId="0E8004D6" w:rsidR="00BC2428" w:rsidRDefault="00443624" w:rsidP="00443624">
          <w:pPr>
            <w:overflowPunct w:val="0"/>
            <w:autoSpaceDE w:val="0"/>
            <w:autoSpaceDN w:val="0"/>
            <w:adjustRightInd w:val="0"/>
            <w:spacing w:after="0" w:line="240" w:lineRule="auto"/>
            <w:ind w:left="3189"/>
            <w:textAlignment w:val="baseline"/>
            <w:rPr>
              <w:rFonts w:eastAsia="Times New Roman" w:cstheme="minorHAnsi"/>
              <w:b/>
              <w:bCs/>
              <w:color w:val="FFFFFF" w:themeColor="background1"/>
              <w:sz w:val="32"/>
              <w:szCs w:val="32"/>
              <w:lang w:eastAsia="nb-NO"/>
            </w:rPr>
          </w:pPr>
          <w:r>
            <w:rPr>
              <w:noProof/>
            </w:rPr>
            <w:drawing>
              <wp:anchor distT="0" distB="0" distL="114300" distR="114300" simplePos="0" relativeHeight="251658240" behindDoc="1" locked="0" layoutInCell="1" allowOverlap="1" wp14:anchorId="43996DDC" wp14:editId="71C4B07A">
                <wp:simplePos x="0" y="0"/>
                <wp:positionH relativeFrom="column">
                  <wp:posOffset>166370</wp:posOffset>
                </wp:positionH>
                <wp:positionV relativeFrom="paragraph">
                  <wp:posOffset>89535</wp:posOffset>
                </wp:positionV>
                <wp:extent cx="1630680" cy="609600"/>
                <wp:effectExtent l="0" t="0" r="7620" b="0"/>
                <wp:wrapTight wrapText="bothSides">
                  <wp:wrapPolygon edited="0">
                    <wp:start x="0" y="0"/>
                    <wp:lineTo x="0" y="20925"/>
                    <wp:lineTo x="3028" y="20925"/>
                    <wp:lineTo x="21449" y="17550"/>
                    <wp:lineTo x="21449" y="3375"/>
                    <wp:lineTo x="3028" y="0"/>
                    <wp:lineTo x="0" y="0"/>
                  </wp:wrapPolygon>
                </wp:wrapTight>
                <wp:docPr id="2" name="Picture 2"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AAB" w:rsidRPr="00DF11B0">
            <w:rPr>
              <w:rFonts w:eastAsia="Times New Roman" w:cstheme="minorHAnsi"/>
              <w:b/>
              <w:bCs/>
              <w:color w:val="FFFFFF" w:themeColor="background1"/>
              <w:sz w:val="32"/>
              <w:szCs w:val="32"/>
              <w:lang w:eastAsia="nb-NO"/>
            </w:rPr>
            <w:t>NORDIC</w:t>
          </w:r>
          <w:r w:rsidR="00BC2428">
            <w:rPr>
              <w:rFonts w:eastAsia="Times New Roman" w:cstheme="minorHAnsi"/>
              <w:b/>
              <w:bCs/>
              <w:color w:val="FFFFFF" w:themeColor="background1"/>
              <w:sz w:val="32"/>
              <w:szCs w:val="32"/>
              <w:lang w:eastAsia="nb-NO"/>
            </w:rPr>
            <w:t>-BALTIC</w:t>
          </w:r>
          <w:r w:rsidR="00DE6AAB" w:rsidRPr="00DF11B0">
            <w:rPr>
              <w:rFonts w:eastAsia="Times New Roman" w:cstheme="minorHAnsi"/>
              <w:b/>
              <w:bCs/>
              <w:color w:val="FFFFFF" w:themeColor="background1"/>
              <w:sz w:val="32"/>
              <w:szCs w:val="32"/>
              <w:lang w:eastAsia="nb-NO"/>
            </w:rPr>
            <w:t xml:space="preserve"> COMMITTEE ON</w:t>
          </w:r>
        </w:p>
        <w:p w14:paraId="254E3F51" w14:textId="6A85B51B" w:rsidR="00DE6AAB" w:rsidRPr="00396C95" w:rsidRDefault="00DE6AAB" w:rsidP="00443624">
          <w:pPr>
            <w:overflowPunct w:val="0"/>
            <w:autoSpaceDE w:val="0"/>
            <w:autoSpaceDN w:val="0"/>
            <w:adjustRightInd w:val="0"/>
            <w:spacing w:after="0" w:line="240" w:lineRule="auto"/>
            <w:ind w:left="3189"/>
            <w:textAlignment w:val="baseline"/>
            <w:rPr>
              <w:rFonts w:eastAsia="Times New Roman" w:cstheme="minorHAnsi"/>
              <w:b/>
              <w:bCs/>
              <w:color w:val="FFFFFF" w:themeColor="background1"/>
              <w:sz w:val="32"/>
              <w:szCs w:val="32"/>
              <w:lang w:eastAsia="nb-NO"/>
            </w:rPr>
          </w:pPr>
          <w:r w:rsidRPr="00DF11B0">
            <w:rPr>
              <w:rFonts w:eastAsia="Times New Roman" w:cstheme="minorHAnsi"/>
              <w:b/>
              <w:bCs/>
              <w:color w:val="FFFFFF" w:themeColor="background1"/>
              <w:sz w:val="32"/>
              <w:szCs w:val="32"/>
              <w:lang w:eastAsia="nb-NO"/>
            </w:rPr>
            <w:t>FOOD ANALYSIS</w:t>
          </w:r>
        </w:p>
      </w:tc>
      <w:tc>
        <w:tcPr>
          <w:tcW w:w="2967" w:type="dxa"/>
          <w:tcBorders>
            <w:left w:val="single" w:sz="12" w:space="0" w:color="FFFFFF" w:themeColor="background1"/>
          </w:tcBorders>
          <w:shd w:val="solid" w:color="auto" w:fill="auto"/>
        </w:tcPr>
        <w:p w14:paraId="45DFDE3E" w14:textId="77777777" w:rsidR="00DE6AAB" w:rsidRPr="00DF11B0" w:rsidRDefault="00DE6AAB" w:rsidP="00DE6AAB">
          <w:pPr>
            <w:overflowPunct w:val="0"/>
            <w:autoSpaceDE w:val="0"/>
            <w:autoSpaceDN w:val="0"/>
            <w:adjustRightInd w:val="0"/>
            <w:spacing w:before="120" w:after="0" w:line="240" w:lineRule="auto"/>
            <w:ind w:left="-18"/>
            <w:jc w:val="center"/>
            <w:textAlignment w:val="baseline"/>
            <w:rPr>
              <w:rFonts w:eastAsia="Times New Roman" w:cstheme="minorHAnsi"/>
              <w:b/>
              <w:bCs/>
              <w:color w:val="FFFFFF" w:themeColor="background1"/>
              <w:sz w:val="32"/>
              <w:szCs w:val="32"/>
              <w:lang w:val="en-GB" w:eastAsia="nb-NO"/>
            </w:rPr>
          </w:pPr>
          <w:r>
            <w:rPr>
              <w:rFonts w:eastAsia="Times New Roman" w:cstheme="minorHAnsi"/>
              <w:b/>
              <w:bCs/>
              <w:color w:val="FFFFFF" w:themeColor="background1"/>
              <w:sz w:val="32"/>
              <w:szCs w:val="32"/>
              <w:lang w:val="en-GB" w:eastAsia="nb-NO"/>
            </w:rPr>
            <w:t>METHOD</w:t>
          </w:r>
        </w:p>
        <w:p w14:paraId="385DC5DE" w14:textId="4E732403" w:rsidR="00DE6AAB" w:rsidRPr="00FB2F32" w:rsidRDefault="00DE6AAB" w:rsidP="00DE6AAB">
          <w:pPr>
            <w:overflowPunct w:val="0"/>
            <w:autoSpaceDE w:val="0"/>
            <w:autoSpaceDN w:val="0"/>
            <w:adjustRightInd w:val="0"/>
            <w:spacing w:before="120" w:after="0" w:line="240" w:lineRule="auto"/>
            <w:ind w:left="-18"/>
            <w:jc w:val="center"/>
            <w:textAlignment w:val="baseline"/>
            <w:rPr>
              <w:rFonts w:eastAsia="Times New Roman" w:cstheme="minorHAnsi"/>
              <w:color w:val="FFFFFF" w:themeColor="background1"/>
              <w:sz w:val="32"/>
              <w:szCs w:val="32"/>
              <w:lang w:val="en-GB" w:eastAsia="nb-NO"/>
            </w:rPr>
          </w:pPr>
          <w:r w:rsidRPr="00FB2F32">
            <w:rPr>
              <w:rFonts w:eastAsia="Times New Roman" w:cstheme="minorHAnsi"/>
              <w:color w:val="FFFFFF" w:themeColor="background1"/>
              <w:sz w:val="32"/>
              <w:szCs w:val="32"/>
              <w:lang w:val="en-GB" w:eastAsia="nb-NO"/>
            </w:rPr>
            <w:t xml:space="preserve">No. </w:t>
          </w:r>
          <w:r>
            <w:rPr>
              <w:rFonts w:eastAsia="Times New Roman" w:cstheme="minorHAnsi"/>
              <w:color w:val="FFFFFF" w:themeColor="background1"/>
              <w:sz w:val="32"/>
              <w:szCs w:val="32"/>
              <w:lang w:val="en-GB" w:eastAsia="nb-NO"/>
            </w:rPr>
            <w:t>XXX</w:t>
          </w:r>
        </w:p>
        <w:p w14:paraId="007CAB39" w14:textId="5D7D55A9" w:rsidR="00DE6AAB" w:rsidRPr="006653A0" w:rsidRDefault="00DE6AAB" w:rsidP="00DE6AAB">
          <w:pPr>
            <w:overflowPunct w:val="0"/>
            <w:autoSpaceDE w:val="0"/>
            <w:autoSpaceDN w:val="0"/>
            <w:adjustRightInd w:val="0"/>
            <w:spacing w:before="120" w:after="0" w:line="240" w:lineRule="auto"/>
            <w:ind w:left="-18"/>
            <w:jc w:val="center"/>
            <w:textAlignment w:val="baseline"/>
            <w:rPr>
              <w:rFonts w:eastAsia="Times New Roman" w:cstheme="minorHAnsi"/>
              <w:b/>
              <w:color w:val="FFFFFF" w:themeColor="background1"/>
              <w:sz w:val="28"/>
              <w:szCs w:val="28"/>
              <w:lang w:val="en-GB" w:eastAsia="nb-NO"/>
            </w:rPr>
          </w:pPr>
          <w:r>
            <w:rPr>
              <w:rFonts w:eastAsia="Times New Roman" w:cstheme="minorHAnsi"/>
              <w:color w:val="FFFFFF" w:themeColor="background1"/>
              <w:sz w:val="32"/>
              <w:szCs w:val="32"/>
              <w:lang w:val="en-GB" w:eastAsia="nb-NO"/>
            </w:rPr>
            <w:t>Ed</w:t>
          </w:r>
          <w:r w:rsidRPr="00FB2F32">
            <w:rPr>
              <w:rFonts w:eastAsia="Times New Roman" w:cstheme="minorHAnsi"/>
              <w:color w:val="FFFFFF" w:themeColor="background1"/>
              <w:sz w:val="32"/>
              <w:szCs w:val="32"/>
              <w:lang w:val="en-GB" w:eastAsia="nb-NO"/>
            </w:rPr>
            <w:t>.</w:t>
          </w:r>
          <w:r>
            <w:rPr>
              <w:rFonts w:eastAsia="Times New Roman" w:cstheme="minorHAnsi"/>
              <w:color w:val="FFFFFF" w:themeColor="background1"/>
              <w:sz w:val="32"/>
              <w:szCs w:val="32"/>
              <w:lang w:val="en-GB" w:eastAsia="nb-NO"/>
            </w:rPr>
            <w:t xml:space="preserve"> X,</w:t>
          </w:r>
          <w:r w:rsidRPr="00FB2F32">
            <w:rPr>
              <w:rFonts w:eastAsia="Times New Roman" w:cstheme="minorHAnsi"/>
              <w:color w:val="FFFFFF" w:themeColor="background1"/>
              <w:sz w:val="32"/>
              <w:szCs w:val="32"/>
              <w:lang w:val="en-GB" w:eastAsia="nb-NO"/>
            </w:rPr>
            <w:t xml:space="preserve"> 20</w:t>
          </w:r>
          <w:r w:rsidR="005D6BCB">
            <w:rPr>
              <w:rFonts w:eastAsia="Times New Roman" w:cstheme="minorHAnsi"/>
              <w:color w:val="FFFFFF" w:themeColor="background1"/>
              <w:sz w:val="32"/>
              <w:szCs w:val="32"/>
              <w:lang w:val="en-GB" w:eastAsia="nb-NO"/>
            </w:rPr>
            <w:t>XX</w:t>
          </w:r>
        </w:p>
      </w:tc>
    </w:tr>
  </w:tbl>
  <w:p w14:paraId="0D9BCF78" w14:textId="77777777" w:rsidR="00880081" w:rsidRPr="00DE6AAB" w:rsidRDefault="00880081" w:rsidP="00DE6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616"/>
    <w:multiLevelType w:val="hybridMultilevel"/>
    <w:tmpl w:val="0C48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5E74"/>
    <w:multiLevelType w:val="hybridMultilevel"/>
    <w:tmpl w:val="9F68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1248D"/>
    <w:multiLevelType w:val="hybridMultilevel"/>
    <w:tmpl w:val="C31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5CF5"/>
    <w:multiLevelType w:val="multilevel"/>
    <w:tmpl w:val="47702A5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1A49DD"/>
    <w:multiLevelType w:val="hybridMultilevel"/>
    <w:tmpl w:val="E5D0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F1C86"/>
    <w:multiLevelType w:val="hybridMultilevel"/>
    <w:tmpl w:val="9E465E6A"/>
    <w:lvl w:ilvl="0" w:tplc="9EB03F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8328A"/>
    <w:multiLevelType w:val="hybridMultilevel"/>
    <w:tmpl w:val="123C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B6C7A"/>
    <w:multiLevelType w:val="hybridMultilevel"/>
    <w:tmpl w:val="99282632"/>
    <w:lvl w:ilvl="0" w:tplc="C1D6A608">
      <w:start w:val="1"/>
      <w:numFmt w:val="decimal"/>
      <w:lvlText w:val="4.%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0841B97"/>
    <w:multiLevelType w:val="multilevel"/>
    <w:tmpl w:val="3CFA9D96"/>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123AD6"/>
    <w:multiLevelType w:val="singleLevel"/>
    <w:tmpl w:val="01D815F4"/>
    <w:lvl w:ilvl="0">
      <w:start w:val="1"/>
      <w:numFmt w:val="decimal"/>
      <w:lvlText w:val="%1."/>
      <w:legacy w:legacy="1" w:legacySpace="0" w:legacyIndent="360"/>
      <w:lvlJc w:val="left"/>
      <w:pPr>
        <w:ind w:left="360" w:hanging="360"/>
      </w:pPr>
    </w:lvl>
  </w:abstractNum>
  <w:abstractNum w:abstractNumId="10" w15:restartNumberingAfterBreak="0">
    <w:nsid w:val="654B39E1"/>
    <w:multiLevelType w:val="multilevel"/>
    <w:tmpl w:val="C9EAC7AA"/>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6EB037FE"/>
    <w:multiLevelType w:val="hybridMultilevel"/>
    <w:tmpl w:val="7E6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744502">
    <w:abstractNumId w:val="9"/>
  </w:num>
  <w:num w:numId="2" w16cid:durableId="277564273">
    <w:abstractNumId w:val="4"/>
  </w:num>
  <w:num w:numId="3" w16cid:durableId="1703553438">
    <w:abstractNumId w:val="1"/>
  </w:num>
  <w:num w:numId="4" w16cid:durableId="315646140">
    <w:abstractNumId w:val="0"/>
  </w:num>
  <w:num w:numId="5" w16cid:durableId="733939873">
    <w:abstractNumId w:val="2"/>
  </w:num>
  <w:num w:numId="6" w16cid:durableId="1576280560">
    <w:abstractNumId w:val="3"/>
  </w:num>
  <w:num w:numId="7" w16cid:durableId="1731734412">
    <w:abstractNumId w:val="7"/>
  </w:num>
  <w:num w:numId="8" w16cid:durableId="2002659989">
    <w:abstractNumId w:val="8"/>
  </w:num>
  <w:num w:numId="9" w16cid:durableId="2048139898">
    <w:abstractNumId w:val="10"/>
  </w:num>
  <w:num w:numId="10" w16cid:durableId="1275404748">
    <w:abstractNumId w:val="5"/>
  </w:num>
  <w:num w:numId="11" w16cid:durableId="1495532259">
    <w:abstractNumId w:val="11"/>
  </w:num>
  <w:num w:numId="12" w16cid:durableId="605499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36"/>
    <w:rsid w:val="00000A72"/>
    <w:rsid w:val="00011149"/>
    <w:rsid w:val="0001530F"/>
    <w:rsid w:val="00045DB8"/>
    <w:rsid w:val="00053AB6"/>
    <w:rsid w:val="000612F6"/>
    <w:rsid w:val="000A5947"/>
    <w:rsid w:val="000D7808"/>
    <w:rsid w:val="000E2D1C"/>
    <w:rsid w:val="00133C55"/>
    <w:rsid w:val="001625DD"/>
    <w:rsid w:val="00180B7F"/>
    <w:rsid w:val="00190507"/>
    <w:rsid w:val="001C5534"/>
    <w:rsid w:val="001C79E8"/>
    <w:rsid w:val="001D064E"/>
    <w:rsid w:val="001D58FB"/>
    <w:rsid w:val="001E6F10"/>
    <w:rsid w:val="00203D97"/>
    <w:rsid w:val="0024034A"/>
    <w:rsid w:val="002719C1"/>
    <w:rsid w:val="002C3D92"/>
    <w:rsid w:val="0037217B"/>
    <w:rsid w:val="00396A8F"/>
    <w:rsid w:val="003A3495"/>
    <w:rsid w:val="003A494E"/>
    <w:rsid w:val="003A7E22"/>
    <w:rsid w:val="003F68B6"/>
    <w:rsid w:val="00407E68"/>
    <w:rsid w:val="004119A6"/>
    <w:rsid w:val="00422159"/>
    <w:rsid w:val="00423EEF"/>
    <w:rsid w:val="004322EF"/>
    <w:rsid w:val="00443624"/>
    <w:rsid w:val="00443A9A"/>
    <w:rsid w:val="00451745"/>
    <w:rsid w:val="00492812"/>
    <w:rsid w:val="00494536"/>
    <w:rsid w:val="004D74FB"/>
    <w:rsid w:val="004E089F"/>
    <w:rsid w:val="004E2981"/>
    <w:rsid w:val="00510F06"/>
    <w:rsid w:val="00516844"/>
    <w:rsid w:val="00517D32"/>
    <w:rsid w:val="005551AB"/>
    <w:rsid w:val="0057256C"/>
    <w:rsid w:val="005B503C"/>
    <w:rsid w:val="005C5940"/>
    <w:rsid w:val="005D6BCB"/>
    <w:rsid w:val="005F5AC9"/>
    <w:rsid w:val="006133E1"/>
    <w:rsid w:val="006262F7"/>
    <w:rsid w:val="00631F47"/>
    <w:rsid w:val="006362F7"/>
    <w:rsid w:val="00644FB7"/>
    <w:rsid w:val="0065052E"/>
    <w:rsid w:val="006653A0"/>
    <w:rsid w:val="006C3C54"/>
    <w:rsid w:val="00724ABD"/>
    <w:rsid w:val="007330F0"/>
    <w:rsid w:val="00787324"/>
    <w:rsid w:val="00793764"/>
    <w:rsid w:val="007C7642"/>
    <w:rsid w:val="007C7B40"/>
    <w:rsid w:val="007F27F7"/>
    <w:rsid w:val="00802684"/>
    <w:rsid w:val="00803C0E"/>
    <w:rsid w:val="0083051E"/>
    <w:rsid w:val="00832BBE"/>
    <w:rsid w:val="00854BF1"/>
    <w:rsid w:val="00860E44"/>
    <w:rsid w:val="00871E44"/>
    <w:rsid w:val="00876428"/>
    <w:rsid w:val="00880081"/>
    <w:rsid w:val="00892B0D"/>
    <w:rsid w:val="008936F5"/>
    <w:rsid w:val="00893C0B"/>
    <w:rsid w:val="008C7C5B"/>
    <w:rsid w:val="008D6E79"/>
    <w:rsid w:val="008F3DFE"/>
    <w:rsid w:val="0090066D"/>
    <w:rsid w:val="009107A9"/>
    <w:rsid w:val="009236C6"/>
    <w:rsid w:val="00931CDD"/>
    <w:rsid w:val="0094596A"/>
    <w:rsid w:val="009E00C5"/>
    <w:rsid w:val="009F7B0F"/>
    <w:rsid w:val="00A0013D"/>
    <w:rsid w:val="00A13921"/>
    <w:rsid w:val="00A37F48"/>
    <w:rsid w:val="00A4069A"/>
    <w:rsid w:val="00A45161"/>
    <w:rsid w:val="00A66378"/>
    <w:rsid w:val="00A87416"/>
    <w:rsid w:val="00AA2B3B"/>
    <w:rsid w:val="00AE2EAA"/>
    <w:rsid w:val="00B24BD9"/>
    <w:rsid w:val="00B42F50"/>
    <w:rsid w:val="00B52E16"/>
    <w:rsid w:val="00B55A3C"/>
    <w:rsid w:val="00B55F64"/>
    <w:rsid w:val="00B92EB5"/>
    <w:rsid w:val="00BA23CC"/>
    <w:rsid w:val="00BB2EDE"/>
    <w:rsid w:val="00BC2428"/>
    <w:rsid w:val="00BE2129"/>
    <w:rsid w:val="00C1139A"/>
    <w:rsid w:val="00C20B66"/>
    <w:rsid w:val="00C223D1"/>
    <w:rsid w:val="00C358E6"/>
    <w:rsid w:val="00C41D3F"/>
    <w:rsid w:val="00C4433A"/>
    <w:rsid w:val="00C643D5"/>
    <w:rsid w:val="00C6702A"/>
    <w:rsid w:val="00C915C5"/>
    <w:rsid w:val="00CA1C8F"/>
    <w:rsid w:val="00CB6EA0"/>
    <w:rsid w:val="00D03E7B"/>
    <w:rsid w:val="00D15BAB"/>
    <w:rsid w:val="00D202EA"/>
    <w:rsid w:val="00D20575"/>
    <w:rsid w:val="00D33D2E"/>
    <w:rsid w:val="00D456C0"/>
    <w:rsid w:val="00DA5E3B"/>
    <w:rsid w:val="00DC0EBA"/>
    <w:rsid w:val="00DD5D8D"/>
    <w:rsid w:val="00DE6AAB"/>
    <w:rsid w:val="00DF11B0"/>
    <w:rsid w:val="00DF4EBC"/>
    <w:rsid w:val="00E17AC0"/>
    <w:rsid w:val="00E30996"/>
    <w:rsid w:val="00E416E1"/>
    <w:rsid w:val="00E80254"/>
    <w:rsid w:val="00E836AA"/>
    <w:rsid w:val="00E9641F"/>
    <w:rsid w:val="00EA15A3"/>
    <w:rsid w:val="00EB507D"/>
    <w:rsid w:val="00EB7530"/>
    <w:rsid w:val="00ED2153"/>
    <w:rsid w:val="00ED4055"/>
    <w:rsid w:val="00ED7614"/>
    <w:rsid w:val="00EF5AAA"/>
    <w:rsid w:val="00EF6770"/>
    <w:rsid w:val="00F13836"/>
    <w:rsid w:val="00F43BA5"/>
    <w:rsid w:val="00F72859"/>
    <w:rsid w:val="00F75646"/>
    <w:rsid w:val="00F81366"/>
    <w:rsid w:val="00F83B5B"/>
    <w:rsid w:val="00F90C57"/>
    <w:rsid w:val="00F9556E"/>
    <w:rsid w:val="00F96F62"/>
    <w:rsid w:val="00FA032C"/>
    <w:rsid w:val="00FB2F32"/>
    <w:rsid w:val="00FC59D1"/>
    <w:rsid w:val="00FE0305"/>
    <w:rsid w:val="3DD57DA3"/>
    <w:rsid w:val="4C292D79"/>
    <w:rsid w:val="5F0AF1E1"/>
    <w:rsid w:val="7B5CB549"/>
  </w:rsids>
  <m:mathPr>
    <m:mathFont m:val="Cambria Math"/>
    <m:brkBin m:val="before"/>
    <m:brkBinSub m:val="--"/>
    <m:smallFrac m:val="0"/>
    <m:dispDef/>
    <m:lMargin m:val="0"/>
    <m:rMargin m:val="0"/>
    <m:defJc m:val="centerGroup"/>
    <m:wrapIndent m:val="1440"/>
    <m:intLim m:val="subSup"/>
    <m:naryLim m:val="undOvr"/>
  </m:mathPr>
  <w:themeFontLang w:val="nb-N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E020"/>
  <w15:chartTrackingRefBased/>
  <w15:docId w15:val="{CADC1CEE-CAD9-4B99-8939-C478BE6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F32"/>
    <w:pPr>
      <w:shd w:val="clear" w:color="auto" w:fill="E7E6E6" w:themeFill="background2"/>
      <w:spacing w:before="240"/>
      <w:outlineLvl w:val="0"/>
    </w:pPr>
    <w:rPr>
      <w:b/>
      <w:sz w:val="32"/>
      <w:szCs w:val="32"/>
    </w:rPr>
  </w:style>
  <w:style w:type="paragraph" w:styleId="Heading2">
    <w:name w:val="heading 2"/>
    <w:basedOn w:val="Normal"/>
    <w:next w:val="Normal"/>
    <w:link w:val="Heading2Char"/>
    <w:uiPriority w:val="9"/>
    <w:unhideWhenUsed/>
    <w:qFormat/>
    <w:rsid w:val="00FB2F32"/>
    <w:pPr>
      <w:pBdr>
        <w:bottom w:val="single" w:sz="4" w:space="1" w:color="auto"/>
      </w:pBdr>
      <w:shd w:val="clear" w:color="auto" w:fill="E7E6E6" w:themeFill="background2"/>
      <w:spacing w:before="240"/>
      <w:outlineLvl w:val="1"/>
    </w:pPr>
    <w:rPr>
      <w:b/>
      <w:sz w:val="24"/>
      <w:lang w:val="en-GB"/>
    </w:rPr>
  </w:style>
  <w:style w:type="paragraph" w:styleId="Heading3">
    <w:name w:val="heading 3"/>
    <w:basedOn w:val="Normal"/>
    <w:next w:val="Normal"/>
    <w:link w:val="Heading3Char"/>
    <w:uiPriority w:val="9"/>
    <w:unhideWhenUsed/>
    <w:qFormat/>
    <w:rsid w:val="00B55A3C"/>
    <w:pPr>
      <w:spacing w:before="240" w:after="120"/>
      <w:outlineLvl w:val="2"/>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536"/>
  </w:style>
  <w:style w:type="paragraph" w:styleId="Footer">
    <w:name w:val="footer"/>
    <w:basedOn w:val="Normal"/>
    <w:link w:val="FooterChar"/>
    <w:unhideWhenUsed/>
    <w:rsid w:val="00494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536"/>
  </w:style>
  <w:style w:type="character" w:styleId="PageNumber">
    <w:name w:val="page number"/>
    <w:basedOn w:val="DefaultParagraphFont"/>
    <w:rsid w:val="00494536"/>
  </w:style>
  <w:style w:type="paragraph" w:styleId="PlainText">
    <w:name w:val="Plain Text"/>
    <w:basedOn w:val="Normal"/>
    <w:link w:val="PlainTextChar"/>
    <w:rsid w:val="00494536"/>
    <w:pPr>
      <w:spacing w:after="0" w:line="240" w:lineRule="auto"/>
    </w:pPr>
    <w:rPr>
      <w:rFonts w:ascii="Courier New" w:eastAsia="Times New Roman" w:hAnsi="Courier New" w:cs="Times New Roman"/>
      <w:sz w:val="20"/>
      <w:szCs w:val="20"/>
      <w:lang w:val="nb-NO" w:eastAsia="nb-NO"/>
    </w:rPr>
  </w:style>
  <w:style w:type="character" w:customStyle="1" w:styleId="PlainTextChar">
    <w:name w:val="Plain Text Char"/>
    <w:basedOn w:val="DefaultParagraphFont"/>
    <w:link w:val="PlainText"/>
    <w:rsid w:val="00494536"/>
    <w:rPr>
      <w:rFonts w:ascii="Courier New" w:eastAsia="Times New Roman" w:hAnsi="Courier New" w:cs="Times New Roman"/>
      <w:sz w:val="20"/>
      <w:szCs w:val="20"/>
      <w:lang w:val="nb-NO" w:eastAsia="nb-NO"/>
    </w:rPr>
  </w:style>
  <w:style w:type="character" w:customStyle="1" w:styleId="Heading2Char">
    <w:name w:val="Heading 2 Char"/>
    <w:basedOn w:val="DefaultParagraphFont"/>
    <w:link w:val="Heading2"/>
    <w:uiPriority w:val="9"/>
    <w:rsid w:val="00FB2F32"/>
    <w:rPr>
      <w:b/>
      <w:sz w:val="24"/>
      <w:shd w:val="clear" w:color="auto" w:fill="E7E6E6" w:themeFill="background2"/>
      <w:lang w:val="en-GB"/>
    </w:rPr>
  </w:style>
  <w:style w:type="character" w:customStyle="1" w:styleId="Heading1Char">
    <w:name w:val="Heading 1 Char"/>
    <w:basedOn w:val="DefaultParagraphFont"/>
    <w:link w:val="Heading1"/>
    <w:uiPriority w:val="9"/>
    <w:rsid w:val="00FB2F32"/>
    <w:rPr>
      <w:b/>
      <w:sz w:val="32"/>
      <w:szCs w:val="32"/>
      <w:shd w:val="clear" w:color="auto" w:fill="E7E6E6" w:themeFill="background2"/>
    </w:rPr>
  </w:style>
  <w:style w:type="paragraph" w:styleId="ListParagraph">
    <w:name w:val="List Paragraph"/>
    <w:basedOn w:val="Normal"/>
    <w:uiPriority w:val="34"/>
    <w:qFormat/>
    <w:rsid w:val="00FB2F32"/>
    <w:pPr>
      <w:ind w:left="720"/>
      <w:contextualSpacing/>
    </w:pPr>
  </w:style>
  <w:style w:type="character" w:customStyle="1" w:styleId="Heading3Char">
    <w:name w:val="Heading 3 Char"/>
    <w:basedOn w:val="DefaultParagraphFont"/>
    <w:link w:val="Heading3"/>
    <w:uiPriority w:val="9"/>
    <w:rsid w:val="00B55A3C"/>
    <w:rPr>
      <w:b/>
      <w:bCs/>
      <w:sz w:val="24"/>
      <w:szCs w:val="24"/>
      <w:lang w:val="en-GB"/>
    </w:rPr>
  </w:style>
  <w:style w:type="paragraph" w:styleId="Revision">
    <w:name w:val="Revision"/>
    <w:hidden/>
    <w:uiPriority w:val="99"/>
    <w:semiHidden/>
    <w:rsid w:val="00860E44"/>
    <w:pPr>
      <w:spacing w:after="0" w:line="240" w:lineRule="auto"/>
    </w:pPr>
  </w:style>
  <w:style w:type="character" w:styleId="CommentReference">
    <w:name w:val="annotation reference"/>
    <w:basedOn w:val="DefaultParagraphFont"/>
    <w:uiPriority w:val="99"/>
    <w:semiHidden/>
    <w:unhideWhenUsed/>
    <w:rsid w:val="00860E44"/>
    <w:rPr>
      <w:sz w:val="16"/>
      <w:szCs w:val="16"/>
    </w:rPr>
  </w:style>
  <w:style w:type="paragraph" w:styleId="CommentText">
    <w:name w:val="annotation text"/>
    <w:basedOn w:val="Normal"/>
    <w:link w:val="CommentTextChar"/>
    <w:uiPriority w:val="99"/>
    <w:unhideWhenUsed/>
    <w:rsid w:val="00860E44"/>
    <w:pPr>
      <w:spacing w:line="240" w:lineRule="auto"/>
    </w:pPr>
    <w:rPr>
      <w:sz w:val="20"/>
      <w:szCs w:val="20"/>
    </w:rPr>
  </w:style>
  <w:style w:type="character" w:customStyle="1" w:styleId="CommentTextChar">
    <w:name w:val="Comment Text Char"/>
    <w:basedOn w:val="DefaultParagraphFont"/>
    <w:link w:val="CommentText"/>
    <w:uiPriority w:val="99"/>
    <w:rsid w:val="00860E44"/>
    <w:rPr>
      <w:sz w:val="20"/>
      <w:szCs w:val="20"/>
    </w:rPr>
  </w:style>
  <w:style w:type="paragraph" w:styleId="CommentSubject">
    <w:name w:val="annotation subject"/>
    <w:basedOn w:val="CommentText"/>
    <w:next w:val="CommentText"/>
    <w:link w:val="CommentSubjectChar"/>
    <w:uiPriority w:val="99"/>
    <w:semiHidden/>
    <w:unhideWhenUsed/>
    <w:rsid w:val="00860E44"/>
    <w:rPr>
      <w:b/>
      <w:bCs/>
    </w:rPr>
  </w:style>
  <w:style w:type="character" w:customStyle="1" w:styleId="CommentSubjectChar">
    <w:name w:val="Comment Subject Char"/>
    <w:basedOn w:val="CommentTextChar"/>
    <w:link w:val="CommentSubject"/>
    <w:uiPriority w:val="99"/>
    <w:semiHidden/>
    <w:rsid w:val="00860E44"/>
    <w:rPr>
      <w:b/>
      <w:bCs/>
      <w:sz w:val="20"/>
      <w:szCs w:val="20"/>
    </w:rPr>
  </w:style>
  <w:style w:type="character" w:styleId="Hyperlink">
    <w:name w:val="Hyperlink"/>
    <w:basedOn w:val="DefaultParagraphFont"/>
    <w:uiPriority w:val="99"/>
    <w:unhideWhenUsed/>
    <w:rsid w:val="00E17AC0"/>
    <w:rPr>
      <w:color w:val="0000FF"/>
      <w:u w:val="single"/>
    </w:rPr>
  </w:style>
  <w:style w:type="character" w:styleId="UnresolvedMention">
    <w:name w:val="Unresolved Mention"/>
    <w:basedOn w:val="DefaultParagraphFont"/>
    <w:uiPriority w:val="99"/>
    <w:semiHidden/>
    <w:unhideWhenUsed/>
    <w:rsid w:val="00DD5D8D"/>
    <w:rPr>
      <w:color w:val="605E5C"/>
      <w:shd w:val="clear" w:color="auto" w:fill="E1DFDD"/>
    </w:rPr>
  </w:style>
  <w:style w:type="paragraph" w:customStyle="1" w:styleId="pf0">
    <w:name w:val="pf0"/>
    <w:basedOn w:val="Normal"/>
    <w:rsid w:val="00EA15A3"/>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cf01">
    <w:name w:val="cf01"/>
    <w:basedOn w:val="DefaultParagraphFont"/>
    <w:rsid w:val="00EA15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88578">
      <w:bodyDiv w:val="1"/>
      <w:marLeft w:val="0"/>
      <w:marRight w:val="0"/>
      <w:marTop w:val="0"/>
      <w:marBottom w:val="0"/>
      <w:divBdr>
        <w:top w:val="none" w:sz="0" w:space="0" w:color="auto"/>
        <w:left w:val="none" w:sz="0" w:space="0" w:color="auto"/>
        <w:bottom w:val="none" w:sz="0" w:space="0" w:color="auto"/>
        <w:right w:val="none" w:sz="0" w:space="0" w:color="auto"/>
      </w:divBdr>
    </w:div>
    <w:div w:id="1687244214">
      <w:bodyDiv w:val="1"/>
      <w:marLeft w:val="0"/>
      <w:marRight w:val="0"/>
      <w:marTop w:val="0"/>
      <w:marBottom w:val="0"/>
      <w:divBdr>
        <w:top w:val="none" w:sz="0" w:space="0" w:color="auto"/>
        <w:left w:val="none" w:sz="0" w:space="0" w:color="auto"/>
        <w:bottom w:val="none" w:sz="0" w:space="0" w:color="auto"/>
        <w:right w:val="none" w:sz="0" w:space="0" w:color="auto"/>
      </w:divBdr>
    </w:div>
    <w:div w:id="1837568148">
      <w:bodyDiv w:val="1"/>
      <w:marLeft w:val="0"/>
      <w:marRight w:val="0"/>
      <w:marTop w:val="0"/>
      <w:marBottom w:val="0"/>
      <w:divBdr>
        <w:top w:val="none" w:sz="0" w:space="0" w:color="auto"/>
        <w:left w:val="none" w:sz="0" w:space="0" w:color="auto"/>
        <w:bottom w:val="none" w:sz="0" w:space="0" w:color="auto"/>
        <w:right w:val="none" w:sz="0" w:space="0" w:color="auto"/>
      </w:divBdr>
    </w:div>
    <w:div w:id="20021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st@nmkl.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nmk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mkl.org/resources/method-develop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mkl.org/resources/method-developmen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EC67A61E5D048B896E5CCCD669424" ma:contentTypeVersion="17" ma:contentTypeDescription="Create a new document." ma:contentTypeScope="" ma:versionID="42875bee3796349f20ce712efaed7dd8">
  <xsd:schema xmlns:xsd="http://www.w3.org/2001/XMLSchema" xmlns:xs="http://www.w3.org/2001/XMLSchema" xmlns:p="http://schemas.microsoft.com/office/2006/metadata/properties" xmlns:ns2="8fbc1789-8403-434d-95f1-0aaab5543622" xmlns:ns3="2d193db1-c868-4993-b682-471cb9636343" xmlns:ns4="b03a1b0e-073b-4240-9f24-9632371bb35c" targetNamespace="http://schemas.microsoft.com/office/2006/metadata/properties" ma:root="true" ma:fieldsID="50dc53f3d464d5c37c6c80aed1c29d13" ns2:_="" ns3:_="" ns4:_="">
    <xsd:import namespace="8fbc1789-8403-434d-95f1-0aaab5543622"/>
    <xsd:import namespace="2d193db1-c868-4993-b682-471cb9636343"/>
    <xsd:import namespace="b03a1b0e-073b-4240-9f24-9632371bb3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Inform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1789-8403-434d-95f1-0aaab55436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c87fe84-972f-4137-b4f3-307d9894c7f7}" ma:internalName="TaxCatchAll" ma:showField="CatchAllData" ma:web="8fbc1789-8403-434d-95f1-0aaab55436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93db1-c868-4993-b682-471cb96363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Information" ma:index="20" nillable="true" ma:displayName="Information" ma:list="{2d193db1-c868-4993-b682-471cb9636343}" ma:internalName="Information" ma:showField="Title">
      <xsd:simpleType>
        <xsd:restriction base="dms:Lookup"/>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1cccb08-cbc1-4be7-aef6-ff3b7bf61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a1b0e-073b-4240-9f24-9632371bb35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2d193db1-c868-4993-b682-471cb9636343" xsi:nil="true"/>
    <TaxCatchAll xmlns="8fbc1789-8403-434d-95f1-0aaab5543622" xsi:nil="true"/>
    <lcf76f155ced4ddcb4097134ff3c332f xmlns="2d193db1-c868-4993-b682-471cb9636343">
      <Terms xmlns="http://schemas.microsoft.com/office/infopath/2007/PartnerControls"/>
    </lcf76f155ced4ddcb4097134ff3c332f>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5C15-FF11-4F59-AFC7-C45204CD0D79}">
  <ds:schemaRefs>
    <ds:schemaRef ds:uri="http://schemas.microsoft.com/sharepoint/v3/contenttype/forms"/>
  </ds:schemaRefs>
</ds:datastoreItem>
</file>

<file path=customXml/itemProps2.xml><?xml version="1.0" encoding="utf-8"?>
<ds:datastoreItem xmlns:ds="http://schemas.openxmlformats.org/officeDocument/2006/customXml" ds:itemID="{950B641A-AEF4-4179-BB95-3C878E9D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c1789-8403-434d-95f1-0aaab5543622"/>
    <ds:schemaRef ds:uri="2d193db1-c868-4993-b682-471cb9636343"/>
    <ds:schemaRef ds:uri="b03a1b0e-073b-4240-9f24-9632371bb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2D8C-0642-4193-89B2-2E7DB3362459}">
  <ds:schemaRefs>
    <ds:schemaRef ds:uri="http://schemas.microsoft.com/office/2006/metadata/properties"/>
    <ds:schemaRef ds:uri="http://schemas.microsoft.com/office/infopath/2007/PartnerControls"/>
    <ds:schemaRef ds:uri="2d193db1-c868-4993-b682-471cb9636343"/>
    <ds:schemaRef ds:uri="8fbc1789-8403-434d-95f1-0aaab5543622"/>
  </ds:schemaRefs>
</ds:datastoreItem>
</file>

<file path=customXml/itemProps4.xml><?xml version="1.0" encoding="utf-8"?>
<ds:datastoreItem xmlns:ds="http://schemas.openxmlformats.org/officeDocument/2006/customXml" ds:itemID="{7200AAB3-36CE-4DA3-897A-76C231055834}">
  <ds:schemaRefs>
    <ds:schemaRef ds:uri="http://schemas.microsoft.com/sharepoint/events"/>
  </ds:schemaRefs>
</ds:datastoreItem>
</file>

<file path=customXml/itemProps5.xml><?xml version="1.0" encoding="utf-8"?>
<ds:datastoreItem xmlns:ds="http://schemas.openxmlformats.org/officeDocument/2006/customXml" ds:itemID="{DC8D96FE-62FB-4FAD-B9C0-3A334909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Havforskningsinstituttet</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Oveland, Eystein</dc:creator>
  <cp:keywords/>
  <dc:description/>
  <cp:lastModifiedBy>Oveland, Eystein</cp:lastModifiedBy>
  <cp:revision>99</cp:revision>
  <dcterms:created xsi:type="dcterms:W3CDTF">2022-06-12T21:32:00Z</dcterms:created>
  <dcterms:modified xsi:type="dcterms:W3CDTF">2023-08-18T06:02:00Z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0x0101000C2EC67A61E5D048B896E5CCCD669424</vt:lpwstr>
  </property>
  <property fmtid="{D5CDD505-2E9C-101B-9397-08002B2CF9AE}" pid="3" name="MediaServiceImageTags">
    <vt:lpwstr/>
  </property>
</Properties>
</file>